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pieņem kā konstantu vērtību un sadala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287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īpašumā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7635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7635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vasaras sezonas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apkures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50495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Koplietošanas telpu apkurei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1619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38275" cy="1619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1619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0" cy="1619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181100" cy="1619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perioda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71575" cy="1619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Apkures sezonas norēķina periodā siltumenerģijas daudzumu koplietošanas telpu apkurei,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23950" cy="2571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123950" cy="2571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1714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2771775" cy="1714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524000" cy="16192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16192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90675" cy="16192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228725" cy="1809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438275" cy="171450"/>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562100" cy="171450"/>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noteikumu_konsolidētā_versija_p10_25-TA-509.docx</dc:title>
</cp:coreProperties>
</file>

<file path=docProps/custom.xml><?xml version="1.0" encoding="utf-8"?>
<Properties xmlns="http://schemas.openxmlformats.org/officeDocument/2006/custom-properties" xmlns:vt="http://schemas.openxmlformats.org/officeDocument/2006/docPropsVTypes"/>
</file>