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ar siltumenerģijas skaitītājiem dzīvokļos, nedzīvojamās telpās vai mākslinieka darbnīcās un karstā ūdens cirkulāciju sadala uz kvadrātmetriem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907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907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norēķina periodā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noteikumu_konsolidētā_versija_p11_25-TA-509.docx</dc:title>
</cp:coreProperties>
</file>

<file path=docProps/custom.xml><?xml version="1.0" encoding="utf-8"?>
<Properties xmlns="http://schemas.openxmlformats.org/officeDocument/2006/custom-properties" xmlns:vt="http://schemas.openxmlformats.org/officeDocument/2006/docPropsVTypes"/>
</file>