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skaitītājiem dzīvokļos, nedzīvojamās telpās vai mākslinieka darbnīcās un karstā ūdens cirkulāciju sadala uz dzīvojamās ēkas īpašumu skaitu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individuāliem apkures skaitītājiem: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1 </w:t>
      </w:r>
      <w:r w:rsidR="00000000" w:rsidRPr="00000000" w:rsidDel="00000000">
        <w:rPr>
          <w:rtl w:val="0"/>
        </w:rPr>
        <w:t xml:space="preserve">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1 </w:t>
      </w:r>
      <w:r w:rsidR="00000000" w:rsidRPr="00000000" w:rsidDel="00000000">
        <w:rPr>
          <w:rtl w:val="0"/>
        </w:rPr>
        <w:t xml:space="preserve">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pēc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pirms karstā ūdens siltummaiņa vasaras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6212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kas uzskaitīts ar dzīvokļos, mākslinieka darbnīcās un nedzīvojamās telpās uzstādītiem individuāliem skaitītājiem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9052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9052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906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noteikumu_konsolidētā_versija_p12_25-TA-509.docx</dc:title>
</cp:coreProperties>
</file>

<file path=docProps/custom.xml><?xml version="1.0" encoding="utf-8"?>
<Properties xmlns="http://schemas.openxmlformats.org/officeDocument/2006/custom-properties" xmlns:vt="http://schemas.openxmlformats.org/officeDocument/2006/docPropsVTypes"/>
</file>