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2015. gada 15.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Metodika maksājamās daļas noteikšanai par siltumenerģiju atbilstoši siltumenerģijas patēriņa veidam (apkure, karstā ūdens nodrošināšana), ja siltumenerģiju uzskaita ar siltumenerģijas skaitītāju dzīvojamās mājas ievadā</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(Pielikuma nosaukums MK 28.01.2025. noteikumu Nr. 69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76325"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076325"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00100" cy="295275"/>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800100" cy="295275"/>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patērētās siltumenerģijas daudzums vasaras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876300" cy="371475"/>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876300" cy="371475"/>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viena kubikmetra aukstā ūdens uzsildīšanai siltummainī patērētās siltumenerģijas daudzums vasaras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49542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patērētās siltumenerģijas daudzums apkures sezonas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karstā ūdens patēriņam siltummainī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65735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165735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pēc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pirms karstā ūdens siltummaiņa apkures sezonas norēķina periodā (</w:t>
      </w:r>
      <w:r w:rsidR="00000000" w:rsidRPr="00000000" w:rsidDel="00000000">
        <w:rPr>
          <w:vertAlign w:val="superscript"/>
          <w:rtl w:val="0"/>
        </w:rPr>
        <w:t xml:space="preserve">o</w:t>
      </w:r>
      <w:r w:rsidR="00000000" w:rsidRPr="00000000" w:rsidDel="00000000">
        <w:rPr>
          <w:rtl w:val="0"/>
        </w:rPr>
        <w:t xml:space="preserve">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w:t>
      </w:r>
      <w:r w:rsidR="00000000" w:rsidRPr="00000000" w:rsidDel="00000000">
        <w:rPr>
          <w:rtl w:val="0"/>
        </w:rPr>
        <w:t xml:space="preserve">(Svītrots ar MK 31.08.2021. noteikumiem Nr. 589)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419350"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dzīvoklī, mākslinieka darbnīcā vai nedzīvojamā telpā, kas uzskaitīts ar ūdens skaitītāju dzīvojamās mājas īpašumā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762125" cy="295275"/>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762125"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dzīvoklim, mākslinieka darbnīcai vai nedzīvojamai telpai, ja veidojas ūdens patēriņa starpība starp skaitītāja rādījumu pirms siltummaiņa un dzīvokļos, mākslinieka darbnīcās un nedzīvojamās telpās ar skaitītājiem noteikto ūdens patēriņu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karstā ūdens patēriņam, ko lieto norēķina periodā (MWh/m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47775"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1247775"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karstā ūdens patēriņam (aukstā ūdens uzsildīšanai) patērētās siltumenerģijas daudzums apkures sezonas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Dzīvojamās mājas platību, uz kuru attiecināma apkure,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287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028700"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vai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638175" cy="39052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638175"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Norēķina periodā maksu par viena kvadrātmetra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952500"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952500" cy="295275"/>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Maksu par dzīvokļa, mākslinieka darbnīcas vai nedzīvojamās telpas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943100" cy="3143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1943100" cy="31432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w:t>
      </w:r>
      <w:r w:rsidR="00000000" w:rsidRPr="00000000" w:rsidDel="00000000">
        <w:rPr>
          <w:rtl w:val="0"/>
        </w:rPr>
        <w:t xml:space="preserve"> –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maksa par viena kvadrātmetra apkuri norēķina periodā (</w:t>
      </w:r>
      <w:r w:rsidR="00000000" w:rsidRPr="00000000" w:rsidDel="00000000">
        <w:rPr>
          <w:i w:val="1"/>
          <w:rtl w:val="0"/>
        </w:rPr>
        <w:t xml:space="preserve">euro</w:t>
      </w:r>
      <w:r w:rsidR="00000000" w:rsidRPr="00000000" w:rsidDel="00000000">
        <w:rPr>
          <w:rtl w:val="0"/>
        </w:rPr>
        <w:t xml:space="preserve">/m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Dzīvojamās mājas īpašnieki var lemt par nedzīvojamo telpu un mākslinieka darbnīcu apkures patēriņa korekcijas koeficientu piemērošanu. Korekcijas koeficientu aprēķinu veic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Nedzīvojamās telpas vai mākslinieka darbnīcas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162050" cy="295275"/>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1162050"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platības vai mākslinieka darbnīcas kvadrātmetra apkurei patērētās siltumenerģijas daudzums, kas koriģēts atbilstoši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viena apkurināmās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 – siltumenerģijas patēriņa korekcijas koeficients nedzīvojamo telpu vai mākslinieka darbnīcu apkurei, ko nosaka neatkarīgs eksperts.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Dzīvokļa viena kvadrātmetra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19200" cy="3714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219200" cy="3714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apk.dz.</w:t>
      </w:r>
      <w:r w:rsidR="00000000" w:rsidRPr="00000000" w:rsidDel="00000000">
        <w:rPr>
          <w:rtl w:val="0"/>
        </w:rPr>
        <w:t xml:space="preserve"> – viena dzīvojamās platības kvadrātmetra apkurei patērētās siltumenerģijas daudzums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rtl w:val="0"/>
        </w:rPr>
        <w:t xml:space="preserve"> – apkurei patērētās siltumenerģijas daudzums norēķina periodā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dz.</w:t>
      </w:r>
      <w:r w:rsidR="00000000" w:rsidRPr="00000000" w:rsidDel="00000000">
        <w:rPr>
          <w:rtl w:val="0"/>
        </w:rPr>
        <w:t xml:space="preserve"> – mājas dzīvokļu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Nedzīvojamo telpu un mākslinieka darbnīcu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24000"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5240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siltumenerģijas daudzums, kas patērēts nedzīvojamo telpu vai mākslinieka darbnīcu apkurei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apk.ndzi.</w:t>
      </w:r>
      <w:r w:rsidR="00000000" w:rsidRPr="00000000" w:rsidDel="00000000">
        <w:rPr>
          <w:rtl w:val="0"/>
        </w:rPr>
        <w:t xml:space="preserve"> – viena nedzīvojamās platības vai mākslinieka darbnīcas kvadrātmetra apkurei patērētās siltumenerģijas daudzums, kas koriģēts atbilstoši dzīvojamās mājas īpašnieku noteiktajam koeficientam (MWh/m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ndzi.</w:t>
      </w:r>
      <w:r w:rsidR="00000000" w:rsidRPr="00000000" w:rsidDel="00000000">
        <w:rPr>
          <w:rtl w:val="0"/>
        </w:rPr>
        <w:t xml:space="preserve"> – mājas nedzīvojamo telpu un mākslinieka darbnīcu kopējā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085850"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085850" cy="295275"/>
                    </a:xfrm>
                    <a:prstGeom prst="rect"/>
                    <a:ln/>
                  </pic:spPr>
                </pic:pic>
              </a:graphicData>
            </a:graphic>
          </wp:inline>
        </w:drawing>
      </w:r>
      <w:r w:rsidR="00000000" w:rsidRPr="00000000" w:rsidDel="00000000">
        <w:rPr>
          <w:rtl w:val="0"/>
        </w:rPr>
        <w:t xml:space="preserve">  (19)</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patērēto karsto ūdeni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Norēķina periodā aprēķināto daļu no ēkas kopējā siltumenerģijas patēriņa nosaka atbilstoši: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 neatkarīga eksperta veiktajam aprēķinam.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228725"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228725" cy="295275"/>
                    </a:xfrm>
                    <a:prstGeom prst="rect"/>
                    <a:ln/>
                  </pic:spPr>
                </pic:pic>
              </a:graphicData>
            </a:graphic>
          </wp:inline>
        </w:drawing>
      </w:r>
      <w:r w:rsidR="00000000" w:rsidRPr="00000000" w:rsidDel="00000000">
        <w:rPr>
          <w:rtl w:val="0"/>
        </w:rPr>
        <w:t xml:space="preserve">   (20)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38275" cy="295275"/>
            <wp:effectExtent t="0" b="0" r="0" l="0"/>
            <wp:docPr id="27" name="media/image27.PNG"/>
            <a:graphic>
              <a:graphicData uri="http://schemas.openxmlformats.org/drawingml/2006/picture">
                <pic:pic>
                  <pic:nvPicPr>
                    <pic:cNvPr id="27" name="media/image27.PNG"/>
                    <pic:cNvPicPr/>
                  </pic:nvPicPr>
                  <pic:blipFill>
                    <a:blip r:embed="rId27"/>
                    <a:srcRect/>
                    <a:stretch>
                      <a:fillRect/>
                    </a:stretch>
                  </pic:blipFill>
                  <pic:spPr>
                    <a:xfrm>
                      <a:ext cx="1438275" cy="295275"/>
                    </a:xfrm>
                    <a:prstGeom prst="rect"/>
                    <a:ln/>
                  </pic:spPr>
                </pic:pic>
              </a:graphicData>
            </a:graphic>
          </wp:inline>
        </w:drawing>
      </w:r>
      <w:r w:rsidR="00000000" w:rsidRPr="00000000" w:rsidDel="00000000">
        <w:rPr>
          <w:rtl w:val="0"/>
        </w:rPr>
        <w:t xml:space="preserve"> (21)</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maksājamā daļa par norēķina perioda siltumapgādi dzīvoklim, nedzīvojamai telpai vai mākslinieka darbnīcai, kas atvienota no mājas kopējās apkures un karstā ūdens apgādes sistēmas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 – siltumenerģijas tarifs ar pievienotās vērtības nodokli (PVN) (</w:t>
      </w:r>
      <w:r w:rsidR="00000000" w:rsidRPr="00000000" w:rsidDel="00000000">
        <w:rPr>
          <w:i w:val="1"/>
          <w:rtl w:val="0"/>
        </w:rPr>
        <w:t xml:space="preserve">euro</w:t>
      </w:r>
      <w:r w:rsidR="00000000" w:rsidRPr="00000000" w:rsidDel="00000000">
        <w:rPr>
          <w:rtl w:val="0"/>
        </w:rPr>
        <w:t xml:space="preserve">/MWh).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Norēķina periodā kopējo siltumenerģijas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562100" cy="295275"/>
            <wp:effectExtent t="0" b="0" r="0" l="0"/>
            <wp:docPr id="28" name="media/image28.PNG"/>
            <a:graphic>
              <a:graphicData uri="http://schemas.openxmlformats.org/drawingml/2006/picture">
                <pic:pic>
                  <pic:nvPicPr>
                    <pic:cNvPr id="28" name="media/image28.PNG"/>
                    <pic:cNvPicPr/>
                  </pic:nvPicPr>
                  <pic:blipFill>
                    <a:blip r:embed="rId28"/>
                    <a:srcRect/>
                    <a:stretch>
                      <a:fillRect/>
                    </a:stretch>
                  </pic:blipFill>
                  <pic:spPr>
                    <a:xfrm>
                      <a:ext cx="1562100" cy="295275"/>
                    </a:xfrm>
                    <a:prstGeom prst="rect"/>
                    <a:ln/>
                  </pic:spPr>
                </pic:pic>
              </a:graphicData>
            </a:graphic>
          </wp:inline>
        </w:drawing>
      </w:r>
      <w:r w:rsidR="00000000" w:rsidRPr="00000000" w:rsidDel="00000000">
        <w:rPr>
          <w:rtl w:val="0"/>
        </w:rPr>
        <w:t xml:space="preserve">   (22)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norēķina periodā atbilstoši neatkarīga eksperta veiktajam aprēķinam vai dzīvojamās mājas īpašnieku lēmumam ēkas dzīvoklim, mākslinieka darbnīcai vai nedzīvojamai telpai, kas atvienota no mājas kopējās apkures un karstā ūdens apgādes sistēmas (MWh).</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25-TA-509</w:t>
    </w:r>
    <w:r>
      <w:br/>
    </w:r>
    <w:r w:rsidR="00000000" w:rsidRPr="00000000" w:rsidDel="00000000">
      <w:rPr>
        <w:rtl w:val="0"/>
      </w:rPr>
      <w:t xml:space="preserve">Izdrukāts 29.07.2026. 23.53 - 1.0.VK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 Target="media/image27.PNG" Type="http://schemas.openxmlformats.org/officeDocument/2006/relationships/image" Id="rId27"/><Relationship Target="media/image28.PNG" Type="http://schemas.openxmlformats.org/officeDocument/2006/relationships/image" Id="rId2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noteikumu_konsolidētā_versija_p14_25-TA-509.docx</dc:title>
</cp:coreProperties>
</file>

<file path=docProps/custom.xml><?xml version="1.0" encoding="utf-8"?>
<Properties xmlns="http://schemas.openxmlformats.org/officeDocument/2006/custom-properties" xmlns:vt="http://schemas.openxmlformats.org/officeDocument/2006/docPropsVTypes"/>
</file>