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17.</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ēkas siltumenerģijas patēriņa veidam  (apkure, karstā ūdens nodrošināšana), ja siltumenerģiju uzskaita ar siltumenerģijas skaitītāju dzīvojamās mājas ievadā un siltumenerģijas patēriņa noteikšanas sistēmu dzīvokļos, nedzīvojamās telpās vai mākslinieka darbnīcās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1428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1428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619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vasaras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524000"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apkures sezonas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apkures sezonas norēķina periodā pēc karstā ūdens siltummaiņa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apkures sezonas norēķina periodā pirms karstā ūdens siltummaiņa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52600"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apkures sezonas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uzskaitīts ar siltumenerģijas patēriņa noteikšanas sistēmu,  nosaka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saskaņā ar šo noteikumu </w:t>
      </w:r>
      <w:r w:rsidR="00000000" w:rsidRPr="00000000" w:rsidDel="00000000">
        <w:rPr>
          <w:rtl w:val="0"/>
        </w:rPr>
        <w:t xml:space="preserve">21.</w:t>
      </w:r>
      <w:r w:rsidR="00000000" w:rsidRPr="00000000" w:rsidDel="00000000">
        <w:rPr>
          <w:rtl w:val="0"/>
        </w:rPr>
        <w:t xml:space="preserve"> pielikumu;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Ja veidojas starpība starp aprēķināto siltumenerģijas daudzumu un ar siltumenerģijas patēriņa noteikšanas sistēmu dzīvokļos, nedzīvojamās telpās vai mākslinieka darbnīcās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525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3525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952500" cy="39052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905125" cy="3619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2905125" cy="361950"/>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koplietošanas telpu apkurei un siltumnesēja cirkulācijas nodrošināšanai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maksājamo daļu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8585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8585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228725"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4382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6210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 kas uzskaitīts ar siltumenerģijas patēriņa noteikšanas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noteikumu_konsolidētā_versija_p17_1_25-TA-509.docx</dc:title>
</cp:coreProperties>
</file>

<file path=docProps/custom.xml><?xml version="1.0" encoding="utf-8"?>
<Properties xmlns="http://schemas.openxmlformats.org/officeDocument/2006/custom-properties" xmlns:vt="http://schemas.openxmlformats.org/officeDocument/2006/docPropsVTypes"/>
</file>