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ja siltumenerģiju uzskaita ar siltumenerģijas skaitītāju dzīvojamās mājas ievadā un siltumenerģijas skaitītājiem dzīvokļos, nedzīvojamās telpās vai mākslinieka darbnīcās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(Pielikuma nosaukums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7632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7632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0100"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800100"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876300" cy="3619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52400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62125"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47775"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siltumenerģijas skaitītājiem,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1 </w:t>
      </w:r>
      <w:r w:rsidR="00000000" w:rsidRPr="00000000" w:rsidDel="00000000">
        <w:rPr>
          <w:rtl w:val="0"/>
        </w:rPr>
        <w:t xml:space="preserve">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1 </w:t>
      </w:r>
      <w:r w:rsidR="00000000" w:rsidRPr="00000000" w:rsidDel="00000000">
        <w:rPr>
          <w:rtl w:val="0"/>
        </w:rPr>
        <w:t xml:space="preserve">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veidojas starpība starp aprēķināto daudzumu ar dzīvokļos, mākslinieka darbnīcās vai nedzīvojamās telpās uzstādīto skaitītāju uzskaitīto siltumenerģijas daudzumu, tiek veikts siltumenerģijas patēriņa pārrēķins: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525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35255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koplietošanas telpu apkurei un siltumnesēja cirkulācijas nodrošināšanai līdz atsevišķiem dzīvokļiem, mākslinieka darbnīcām vai nedzīvojamām telpām (ja mājas dzīvokļos, mākslinieka darbnīcās vai nedzīvojamās telpās ir uzstādīti individuālie siltumenerģijas skaitītāji)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Norēķina periodā siltumenerģijas patēriņa korekciju,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52500" cy="3905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952500" cy="39052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koplietošanas telpu apkurei un siltumnesēja cirkulācijas nodrošināšanai līdz atsevišķiem dzīvokļiem, mākslinieka darbnīcām vai nedzīvojamām telpām (ja mājas dzīvokļos, mākslinieka darbnīcās vai nedzīvojamās telpās ir uzstādīti individuālie siltumenerģijas skaitītāji)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05125" cy="3619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2905125"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Norēķina periodā maksājamo daļu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8585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85850"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228725"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4382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5621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noteikumu_konsolidētā_versija_p17_25-TA-509.docx</dc:title>
</cp:coreProperties>
</file>

<file path=docProps/custom.xml><?xml version="1.0" encoding="utf-8"?>
<Properties xmlns="http://schemas.openxmlformats.org/officeDocument/2006/custom-properties" xmlns:vt="http://schemas.openxmlformats.org/officeDocument/2006/docPropsVTypes"/>
</file>