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ja siltumenerģiju uzskaita ar siltumenerģijas skaitītāju dzīvojamās mājas ievadā un siltuma maksas sadalītājiem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6762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Apkurei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50495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Koplietošanas telpu apkurei patērētās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382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Dzīvokļu, mākslinieka darbnīcu vai nedzīvojamo telpu patērētās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16192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152525" cy="16192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Dzīvokļu, mākslinieka darbnīcu vai nedzīvojamo telpu apkurei patērētās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181100" cy="1619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71575" cy="16192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Apkures sezonas norēķina periodā siltumenerģijas daudzumu koplietošanas telpu apkurei, kas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47649"/>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143000" cy="247649"/>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81300" cy="1809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781300" cy="1809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1619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1619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647700" cy="1619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norēķina perioda apkuri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28725" cy="1809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438275" cy="1714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62100" cy="1714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noteikumu_konsolidētā_versija_p19_25-TA-509.docx</dc:title>
</cp:coreProperties>
</file>

<file path=docProps/custom.xml><?xml version="1.0" encoding="utf-8"?>
<Properties xmlns="http://schemas.openxmlformats.org/officeDocument/2006/custom-properties" xmlns:vt="http://schemas.openxmlformats.org/officeDocument/2006/docPropsVTypes"/>
</file>