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20.</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ēkas siltumenerģijas patēriņa veidam (apkure), ja siltumenerģiju uzskaita ar siltumenerģijas skaitītāju dzīvojamās mājas ievadā un ar siltumenerģijas patēriņa noteikšanas sistēmu dzīvokļos, nedzīvojamās telpās vai mākslinieka darbnīcās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9810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pielietojot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pielietojot siltumenerģijas patēriņa noteikšanas sistēmu,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veidojas starpība starp mājas siltummezglā uzstādītā siltumenerģijas skaitītāja ar siltumenerģijas patēriņa noteikšanas sistēmu dzīvokļos, nedzīvojamās telpās un mākslinieka darbnīcās uzskaitīto siltumenerģijas daudzumu, siltumenerģijas patēriņu pārrēķina,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2872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izmantojot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siltumenerģijas patēriņa korekcijas daudzumu, kas attiecināms uz vienu dzīvokļa, nedzīvojamās telpas vai mākslinieka darbnīcas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9810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vienu dzīvokļa, mākslinieka darbnīcas vai nedzīvojamās telpas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(m²).</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05125"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2905125"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vienu dzīvokļa, mākslinieka darbnīcas vai nedzīvojamās telpas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(m²);</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(m²);</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64770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 dzīvojamās mājas kopējās apkures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2287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apgādes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38275"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 par norēķina perioda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621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noteikumu_konsolidētā_versija_p20_1_25-TA-509.docx</dc:title>
</cp:coreProperties>
</file>

<file path=docProps/custom.xml><?xml version="1.0" encoding="utf-8"?>
<Properties xmlns="http://schemas.openxmlformats.org/officeDocument/2006/custom-properties" xmlns:vt="http://schemas.openxmlformats.org/officeDocument/2006/docPropsVTypes"/>
</file>