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ja siltumenerģiju uzskaita ar siltumenerģijas skaitītāju dzīvojamās mājas ievadā un siltumenerģijas skaitītājiem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9810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veidojas starpība starp mājas siltummezglā uzstādītā siltumenerģijas skaitītāja ar dzīvokļos, nedzīvojamās telpās un mākslinieka darbnīcās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2872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Norēķina periodā siltumenerģijas patēriņa korekcijas daudzumu, kas attiecināms uz vienu dzīvokļa, nedzīvojamās telpas vai mākslinieka darbnīcas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9810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2905125"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64770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2287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382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noteikumu_konsolidētā_versija_p20_25-TA-509.docx</dc:title>
</cp:coreProperties>
</file>

<file path=docProps/custom.xml><?xml version="1.0" encoding="utf-8"?>
<Properties xmlns="http://schemas.openxmlformats.org/officeDocument/2006/custom-properties" xmlns:vt="http://schemas.openxmlformats.org/officeDocument/2006/docPropsVTypes"/>
</file>