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pieņem kā konstantu vērtību, kas tiek sadalīta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norēķina perioda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Konstantās vērtības, kas minētas šīs metodikas 3. un 4. punktā, aprēķināt ir tiesīgs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7635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5240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1809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1809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0287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38175" cy="3905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990599"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85950" cy="3143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Viena nedzīvojamās telpas vai mākslinieka darbnīcas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334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95400" cy="3810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240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335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Aprēķināto daļu norēķina periodā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 dzīvojamās mājas kopējās apkures un karstā ūdens apgādes sistēmas atvienota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Norēķina periodā maksu par siltumenerģiju dzīvoklim, nedzīvojamai telpai vai mākslinieka darbnīcai, kas ir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noteikumu_konsolidētā_versija_p4_25-TA-509.docx</dc:title>
</cp:coreProperties>
</file>

<file path=docProps/custom.xml><?xml version="1.0" encoding="utf-8"?>
<Properties xmlns="http://schemas.openxmlformats.org/officeDocument/2006/custom-properties" xmlns:vt="http://schemas.openxmlformats.org/officeDocument/2006/docPropsVTypes"/>
</file>