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pasākumu "Sociālā dialoga attīstība, stiprinot sociālo partneru veiktspēju līdzdarboties likumdošanas, nacionālo reformu un koplīgumu slēgšanas pārrunu procesā"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sociālo partneru kapacitāti piedalīties sociālajā dialogā visos līmeņos, tai skaitā koplīgumu pārrunās, tādējādi sekmējot kvalitatīvu nodarbinātību nozarēs.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organizācijas, kas nodrošina darba devēju un nodarbināto interešu pārstāvniecību nacionāla līmeņa trīspusēja sociālā dialoga institūcijās (Nacionālajā trīspusējās sadarbības padomē un tās apakšpadomēs).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2027. gada 31. decembrim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sociālo partneru skaits, kas saņēmuši atbalstu, – 2, tai skaitā līdz 2024. gada 31. decembrim – 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atbalstīto sociālo partneru skaits, kas sniedz atzinumus/priekšlikumus likumdošanas procesā un Eiropas Semestra ietvaros, –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atbildīgās iestādes funkcijas pilda Valsts kanceleja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finansējums ir 1 740 000 </w:t>
      </w:r>
      <w:r w:rsidR="00000000" w:rsidRPr="00000000" w:rsidDel="00000000">
        <w:rPr>
          <w:i w:val="1"/>
          <w:rtl w:val="0"/>
        </w:rPr>
        <w:t xml:space="preserve">euro </w:t>
      </w:r>
      <w:r w:rsidR="00000000" w:rsidRPr="00000000" w:rsidDel="00000000">
        <w:rPr>
          <w:rtl w:val="0"/>
        </w:rPr>
        <w:t xml:space="preserve">(tai skaitā elastības finansējums 274 528 </w:t>
      </w:r>
      <w:r w:rsidR="00000000" w:rsidRPr="00000000" w:rsidDel="00000000">
        <w:rPr>
          <w:i w:val="1"/>
          <w:rtl w:val="0"/>
        </w:rPr>
        <w:t xml:space="preserve">euro</w:t>
      </w:r>
      <w:r w:rsidR="00000000" w:rsidRPr="00000000" w:rsidDel="00000000">
        <w:rPr>
          <w:rtl w:val="0"/>
        </w:rPr>
        <w:t xml:space="preserve">), tai skaitā Eiropas Sociālā fonda Plus finansējums 1 479 000 </w:t>
      </w:r>
      <w:r w:rsidR="00000000" w:rsidRPr="00000000" w:rsidDel="00000000">
        <w:rPr>
          <w:i w:val="1"/>
          <w:rtl w:val="0"/>
        </w:rPr>
        <w:t xml:space="preserve">euro </w:t>
      </w:r>
      <w:r w:rsidR="00000000" w:rsidRPr="00000000" w:rsidDel="00000000">
        <w:rPr>
          <w:rtl w:val="0"/>
        </w:rPr>
        <w:t xml:space="preserve">(tai skaitā elastības finansējums 233 349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valsts budžeta līdzfinansējums 261 000 </w:t>
      </w:r>
      <w:r w:rsidR="00000000" w:rsidRPr="00000000" w:rsidDel="00000000">
        <w:rPr>
          <w:i w:val="1"/>
          <w:rtl w:val="0"/>
        </w:rPr>
        <w:t xml:space="preserve">euro </w:t>
      </w:r>
      <w:r w:rsidR="00000000" w:rsidRPr="00000000" w:rsidDel="00000000">
        <w:rPr>
          <w:rtl w:val="0"/>
        </w:rPr>
        <w:t xml:space="preserve">(tai skaitā elastības finansējums 41 179 </w:t>
      </w:r>
      <w:r w:rsidR="00000000" w:rsidRPr="00000000" w:rsidDel="00000000">
        <w:rPr>
          <w:i w:val="1"/>
          <w:rtl w:val="0"/>
        </w:rPr>
        <w:t xml:space="preserve">euro</w:t>
      </w:r>
      <w:r w:rsidR="00000000" w:rsidRPr="00000000" w:rsidDel="00000000">
        <w:rPr>
          <w:rtl w:val="0"/>
        </w:rPr>
        <w:t xml:space="preserve">). Maksimālais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1 465 472 </w:t>
      </w:r>
      <w:r w:rsidR="00000000" w:rsidRPr="00000000" w:rsidDel="00000000">
        <w:rPr>
          <w:i w:val="1"/>
          <w:rtl w:val="0"/>
        </w:rPr>
        <w:t xml:space="preserve">euro </w:t>
      </w:r>
      <w:r w:rsidR="00000000" w:rsidRPr="00000000" w:rsidDel="00000000">
        <w:rPr>
          <w:rtl w:val="0"/>
        </w:rPr>
        <w:t xml:space="preserve">apmērā, tai skaitā Eiropas Sociālā fonda Plus finansējumu 1 245 651 </w:t>
      </w:r>
      <w:r w:rsidR="00000000" w:rsidRPr="00000000" w:rsidDel="00000000">
        <w:rPr>
          <w:i w:val="1"/>
          <w:rtl w:val="0"/>
        </w:rPr>
        <w:t xml:space="preserve">euro </w:t>
      </w:r>
      <w:r w:rsidR="00000000" w:rsidRPr="00000000" w:rsidDel="00000000">
        <w:rPr>
          <w:rtl w:val="0"/>
        </w:rPr>
        <w:t xml:space="preserve">apmērā un valsts budžeta līdzfinansējumu 219 821 </w:t>
      </w:r>
      <w:r w:rsidR="00000000" w:rsidRPr="00000000" w:rsidDel="00000000">
        <w:rPr>
          <w:i w:val="1"/>
          <w:rtl w:val="0"/>
        </w:rPr>
        <w:t xml:space="preserve">euro </w:t>
      </w:r>
      <w:r w:rsidR="00000000" w:rsidRPr="00000000" w:rsidDel="00000000">
        <w:rPr>
          <w:rtl w:val="0"/>
        </w:rPr>
        <w:t xml:space="preserve">apmērā. Katram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projekta iesniedzējam ir pieejami ne vairāk kā 50 procenti no šā finansējuma apmēra.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vienā projektu iesniegumu atlases kārtā par visu pasākumam pieejamo finansējumu. Katrs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projekta iesniedzējs iesniedz vienu projekta iesniegumu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iesniedzēji pasākuma ietvaros ir Latvijas Brīvo arodbiedrību savienība un Latvijas Darba devēju konfederācija – organizācijas, kuras veido nacionāla līmeņa trīspusējo sociālo dialogu un nodrošina darba devēju vai nodarbināto organizāciju interešu pārstāvniecību.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atbilstoši projektu iesniegumu atlases nolikumam sagatavo projekta iesniegumu un iesniedz to sadarbības iestādē, izmantojot Kohēzijas politikas fondu vadības informācijas sistēmu. Ja sadarbības iestāde apstiprina projekta iesniegumu, projekta iesniedzējs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kapacitātes stiprināšanas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ekspertu un speciālistu piesaiste;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pētījumu, ekspertīžu un analīžu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dažādu sadarbības mehānismu izveidei un uzturēšanai;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iesaistei tāda normatīvā regulējuma izstrādē un pilnveidē, kas veicina darba devēju un nodarbināto organizāciju koplīgumu slēgšanu;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platformu izveide un digitālo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publicitātes pasākumi, tai skaitā 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 (papildu darbu vai pakalpojumu veikšanai), kas neparedzamu apstākļu dēļ ir kļuvušas nepieciešamas, lai nodrošinātu noslēgto līgumu izpildi, ja finansējuma saņēmējs veicis visus plānošanas pasākumus šo apstākļu novēršanai.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 </w:t>
      </w:r>
      <w:r w:rsidR="00000000" w:rsidRPr="00000000" w:rsidDel="00000000">
        <w:rPr>
          <w:rtl w:val="0"/>
        </w:rPr>
        <w:t xml:space="preserve">apakšpunktā</w:t>
      </w:r>
      <w:r w:rsidR="00000000" w:rsidRPr="00000000" w:rsidDel="00000000">
        <w:rPr>
          <w:rtl w:val="0"/>
        </w:rPr>
        <w:t xml:space="preserve"> minētās atbalstāmās darbības īstenošanai. Izmaksas ir attiecināmas atbilstoši atbildīgās iestādes apstiprinātajai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mācību, darba un dienesta komandējumu un dienesta braucienu izmaksas (arī mācību maksa), ja tās ir saistītas ar projekta rezultātu sasniegšanu,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Iekšzemes komandējumu izmaksas tiek segtas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mācību, darba un dienesta komandējumu un dienesta braucienu izmaksas (arī mācību maksa), ja tās ir saistītas ar projekta rezultātu sasniegšanu. Šīs izmaksas ir attiecināmas tikai projekta vadītājam un projekta īstenošanas personālam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projekta vadības un projekta īstenošanas personāla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projekta īstenošanas personāls ir nodarbināts projektā vismaz 30 procentu apmērā no normālā darba laika uz darba līguma pamata. Ja projekta vadības un projekta īstenošanas personāls ir nodarbināts pilnu darba laiku, darba vietas aprīkojuma izmaksas ir attiecināmas 100 procentu apmērā. Ja projekta vadības un projekta īstenošanas personāls ir nodarbināts nepilnu darba laiku, darba vietas aprīkojuma izmaksas ir attiecināmas, ņemot vērā slodzes proporciju darbam projektā. Ja projekta vadības un projekta īstenošanas personāls ir nodarbināts daļlaiku, darba vietas aprīkojuma izmaksas ir attiecināmas, ņemot vērā gan slodzes proporciju darbam projektā, gan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attiecināmas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Ir attiecināmas arī transportlīdzekļa (tai skaitā specializētā) nomas vai transporta (tai skaitā specializētā) pakalpojumu pirkšanas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12.7.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informatīvo un publicitātes pasākumu īstenošanas izmaksas šo noteikumu </w:t>
      </w:r>
      <w:r w:rsidR="00000000" w:rsidRPr="00000000" w:rsidDel="00000000">
        <w:rPr>
          <w:rtl w:val="0"/>
        </w:rPr>
        <w:t xml:space="preserve">12.7.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atbalstāmās darbības īstenošanai atbilstoši atbildīgās iestādes apstiprinātajai vienkāršoto izmaksu metodikai;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pandusu noma, indukcijas cilpu noma, zīmju valodas tulku un vieglās valodas tulkošanas pakalpojumu izmaksas,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tiešajām attiecināmajām personāla izmaksām saskaņā ar Eiropas Parlamenta un Padomes 2021. gada 24. jūnija </w:t>
      </w:r>
      <w:r w:rsidR="00000000" w:rsidRPr="00000000" w:rsidDel="00000000">
        <w:rPr>
          <w:rtl w:val="0"/>
        </w:rPr>
        <w:t xml:space="preserve">Regulas (ES)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54. panta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neparedzētās izmaksas projektā plāno kā vienu izdevumu pozīciju. Neparedzētās izmaksas nepārsniedz divus procentus no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minētajām tiešajām attiecināmajām izmaksām, un to izlietošanu finansējuma saņēmējs saskaņo ar sadarbības iestādi, ievērojot līgumu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w:t>
      </w:r>
      <w:r w:rsidR="00000000" w:rsidRPr="00000000" w:rsidDel="00000000">
        <w:rPr>
          <w:rtl w:val="0"/>
        </w:rPr>
        <w:t xml:space="preserve">regulas 2021/1060</w:t>
      </w:r>
      <w:r w:rsidR="00000000" w:rsidRPr="00000000" w:rsidDel="00000000">
        <w:rPr>
          <w:rtl w:val="0"/>
        </w:rPr>
        <w:t xml:space="preserve">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Valsts budžeta līdzekļu plānošanas kārtībai Eiropas Savienības fondu projektu īstenošanai un maksājumu veikšanai 2021.–2027. gada plānošanas periodā nodrošina finansējuma saņēmējam avansa maksājumus. Maksimālais avansa apjoms nepārsniedz 30 procentus no projektam piešķirtā Eiropas Sociālā fonda Plus finansējuma un, ja tas ir paredzēts projektā,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saņēmējam pieejamā maksimālā avansa un starpposma maksājuma kopsumma nepārsniedz 95 procentus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atklātā, pārredzamā, nediskriminējošā, sociāli atbildīgā un konkurenci nodrošinošā veidā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kā arī nodrošina,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vismaz trīs vispārīgās un vismaz trīs specifiskās darbības, kā arī nodrošina datu uzkrāšanu un ziņošanu par vismaz vienu rādītāju,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minēto specifisko projekta līmeņa iznākuma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uzkrāšanu par šo noteikumu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minētā rezultāta rādītāja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laikā nodrošina interešu konflikta neesību saskaņā ar </w:t>
      </w:r>
      <w:r w:rsidR="00000000" w:rsidRPr="00000000" w:rsidDel="00000000">
        <w:rPr>
          <w:rtl w:val="0"/>
        </w:rPr>
        <w:t xml:space="preserve">Eiropas Parlamenta un Padomes 2018. gada 18. jūlija </w:t>
      </w:r>
      <w:r w:rsidR="00000000" w:rsidRPr="00000000" w:rsidDel="00000000">
        <w:rPr>
          <w:rtl w:val="0"/>
        </w:rPr>
        <w:t xml:space="preserve">Regulas (ES, Euratom)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23-TA-769</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23-TA-769</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noteikumu_projekts_23-TA-769.docx</dc:title>
</cp:coreProperties>
</file>

<file path=docProps/custom.xml><?xml version="1.0" encoding="utf-8"?>
<Properties xmlns="http://schemas.openxmlformats.org/officeDocument/2006/custom-properties" xmlns:vt="http://schemas.openxmlformats.org/officeDocument/2006/docPropsVTypes"/>
</file>