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ceturto kārtu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(turpmāk – specifiskais atbalsts) projektu iesniegumu atlases ceturto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plānoto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un 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ietvaros projektu iesniegumu atlases ceturto kārtu īsteno atklātas projektu iesniegumu atlases veidā divās apakškārtās.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Specifiskā atbalsta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Specifiskā atbalsta mērķis ir uzlabot kvalitatīvu veselības aprūpes pakalpojumu pieejamību, jo īpaši sociālās, teritoriālās atstumtības un nabadzības riskam pakļautajiem iedzīvotājiem,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Specifiskā atbalsta mērķa grupa ir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ir sasniedzami šādi specifiskā atbalsta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līdz 2023. gada 31. decembrim ambulatoro apmeklējumu relatīvā skaita atšķirība starp iedzīvotājiem novadu teritorijās un republikas pilsētās – apmeklējumu skaits 2,5–2,8;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 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uzlaboto ārstniecības iestāžu skaits, kurās attīstīta infrastruktūra veselības aprūpes pakalpojumu sniegšanai, – 608 ārstniecības iestādes, tai skaitā projektu iesniegumu atlases ceturtajā kārtā vismaz 535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iedzīvotāju skaits, kuriem ir pieejami uzlaboti veselības aprūpes pakalpojumi, – 1 839 598 iedzīvotāji.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17.08.2021. noteikumiem Nr. 559)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Specifiskā atbalsta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iesniegumu atlases ceturtās kārtas ietvaros pieejamais kopējais attiecināmais finansējums ir 4 476 378 </w:t>
      </w:r>
      <w:r w:rsidR="00000000" w:rsidRPr="00000000" w:rsidDel="00000000">
        <w:rPr>
          <w:i w:val="1"/>
          <w:rtl w:val="0"/>
        </w:rPr>
        <w:t xml:space="preserve">euro</w:t>
      </w:r>
      <w:r w:rsidR="00000000" w:rsidRPr="00000000" w:rsidDel="00000000">
        <w:rPr>
          <w:rtl w:val="0"/>
        </w:rPr>
        <w:t xml:space="preserve">, tai skaitā Eiropas Reģionālās attīstības fonda finansējums – 3 804 921 </w:t>
      </w:r>
      <w:r w:rsidR="00000000" w:rsidRPr="00000000" w:rsidDel="00000000">
        <w:rPr>
          <w:i w:val="1"/>
          <w:rtl w:val="0"/>
        </w:rPr>
        <w:t xml:space="preserve">euro</w:t>
      </w:r>
      <w:r w:rsidR="00000000" w:rsidRPr="00000000" w:rsidDel="00000000">
        <w:rPr>
          <w:rtl w:val="0"/>
        </w:rPr>
        <w:t xml:space="preserve"> un nacionālais finansējums 671 457 </w:t>
      </w:r>
      <w:r w:rsidR="00000000" w:rsidRPr="00000000" w:rsidDel="00000000">
        <w:rPr>
          <w:i w:val="1"/>
          <w:rtl w:val="0"/>
        </w:rPr>
        <w:t xml:space="preserve">euro</w:t>
      </w:r>
      <w:r w:rsidR="00000000" w:rsidRPr="00000000" w:rsidDel="00000000">
        <w:rPr>
          <w:rtl w:val="0"/>
        </w:rPr>
        <w:t xml:space="preserve"> (maksimālais valsts budžeta finansējums – 402 873 </w:t>
      </w:r>
      <w:r w:rsidR="00000000" w:rsidRPr="00000000" w:rsidDel="00000000">
        <w:rPr>
          <w:i w:val="1"/>
          <w:rtl w:val="0"/>
        </w:rPr>
        <w:t xml:space="preserve">euro</w:t>
      </w:r>
      <w:r w:rsidR="00000000" w:rsidRPr="00000000" w:rsidDel="00000000">
        <w:rPr>
          <w:rtl w:val="0"/>
        </w:rPr>
        <w:t xml:space="preserve"> un minimālais privātais finansējums – 268 584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Projektu iesniegumu atlases ceturtās kārtas ietvaros attiecināmais Eiropas Reģionālās attīstības fonda finansējums nepārsniedz 85 % un nacionālā valsts budžeta finansējums – 9 % no šo noteikumu 8. punktā minētā atlases kārtai pieejamā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un kas projekta ietvaros plāno attīstīt šo noteikumu 48.1. apakšpunktā minētās individuālās ģimenes ārsta prakses vai šo noteikumu 48.2. apakšpunktā minētās ģimenes ārstu sadarbības prakses, projektu iesniegumu atlases ceturtās kārtas ietvaros var būt: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kas sniedz valsts apmaksātos ģimenes ārsta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kas nodrošina telpas vai telpas un aprīkojumu valsts apmaksāto ģimenes ārsta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vai pašvaldības iestāde, kas nodrošina telpas vai telpas un aprīkojumu valsts apmaksāto ģimenes ārsta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369; MK 12.05.2020. noteikumiem Nr. 292)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un kas projekta ietvaros plāno attīstīt šo noteikumu 48.3. apakšpunktā minētos primārās aprūpes centrus, var būt: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kas nodrošina telpas vai telpas un aprīkojumu valsts apmaksāto ģimenes ārsta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kas ir pašvaldības iestāde un kas sniedz valsts apmaksātos ģimenes ārsta pakalpojumus vai nodrošina telpas vai telpas un aprīkojumu valsts apmaksāto ģimenes ārsta pakalpojumu 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kas ir kapitālsabiedrība, kurā pašvaldībai pieder kapitāla daļas vai balsstiesīgās akcijas, un kas sniedz valsts apmaksātos ģimenes ārsta pakalpojumus vai nodrošina telpas vai telpas un aprīkojumu valsts apmaksāto ģimenes ārsta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sadarbības partnera statusā var piesaistīt citu ārstniecības iestādi, kas sniedz valsts apmaksātos ģimenes ārsta pakalpojumus vai nodrošina telpas vai telpas un aprīkojumu valsts apmaksāto ģimenes ārsta pakalpojumu sniegšanai, kā arī pašvaldību (izņēmums – pašvaldība kā projekta iesniedzējs nevar piesaistīt kā sadarbības partneri citu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Sadarbības partneris var īstenot šo noteikumu 36. punktā minētās atbalstāmās darbības un veikt izmaksas atbilstoši šo noteikumu 38., 39. un 44.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atbilstoši normatīvajiem aktiem par kārtību, kādā Eiropas Savienības struktūrfondu un Kohēzijas fonda vadībā iesaistītās institūcijas nodrošina plānošanas dokumentu sagatavošanu un šo fondu ieviešanu 2014.–2020. gada plānošanas periodā, slēdz sadarbības līgumu ar sadarbības partneri, kontrolē minētā līguma izpildi un novērš dubultā finansējuma riskus.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Kohēzijas politikas fondu vadības informācijas sistēmā 2014.–2020. gadam.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i w:val="1"/>
          <w:rtl w:val="0"/>
        </w:rPr>
        <w:t xml:space="preserve">De minimis</w:t>
      </w:r>
      <w:r w:rsidR="00000000" w:rsidRPr="00000000" w:rsidDel="00000000">
        <w:rPr>
          <w:b w:val="1"/>
          <w:rtl w:val="0"/>
        </w:rPr>
        <w:t xml:space="preserve"> 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36. punktā minētajām atbalstāmajām darbībām finansējumu piešķir kā atbalstu saskaņā ar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Komisijas regulas Nr. 1407/2013 1. panta 1. punktā minētos nozaru un darbības ierobežojumus;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pirms </w:t>
      </w:r>
      <w:r w:rsidR="00000000" w:rsidRPr="00000000" w:rsidDel="00000000">
        <w:rPr>
          <w:i w:val="1"/>
          <w:rtl w:val="0"/>
        </w:rPr>
        <w:t xml:space="preserve">de minimis</w:t>
      </w:r>
      <w:r w:rsidR="00000000" w:rsidRPr="00000000" w:rsidDel="00000000">
        <w:rPr>
          <w:rtl w:val="0"/>
        </w:rPr>
        <w:t xml:space="preserve"> atbalsta piešķiršanas pārbauda, vai atbalsta saņēmējam minētais atbalsts nepārsniedz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Izvērtējot atbalsta apmēru, vērtē saņemto </w:t>
      </w:r>
      <w:r w:rsidR="00000000" w:rsidRPr="00000000" w:rsidDel="00000000">
        <w:rPr>
          <w:i w:val="1"/>
          <w:rtl w:val="0"/>
        </w:rPr>
        <w:t xml:space="preserve">de minimis</w:t>
      </w:r>
      <w:r w:rsidR="00000000" w:rsidRPr="00000000" w:rsidDel="00000000">
        <w:rPr>
          <w:rtl w:val="0"/>
        </w:rPr>
        <w:t xml:space="preserve"> atbalstu viena vienota uzņēmuma līmenī atbilstoši Komisijas regulas Nr. 1407/2013 2. panta 2.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Komisijas regulas Nr. 1407/2013 5. panta 1. un 2. punkta nosacījumus,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1407/2013 3. panta 2. punktā noteiktajam attiecīgajam robežlielumam, kā arī drīkst kumulēt ar citu valsts atbalstu attiecībā uz vienām un tām pašām attiecināmajām izmaksām, ja šīs kumulācijas rezultātā netiek pārsniegta attiecīgā maksimālā atbalsta intensitāte vai atbalsta summa, kāda noteikta valsts atbalsta programmā vai Komisijas lēmumā;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1407/2013 darbības beigām atbilstoši Komisijas regulas Nr. 1407/2013 7. panta 4. punktam un 8. pantam;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saņēmējs un atbalsta saņēmējs atbilstoši Komisijas regulas Nr. 1407/2013 6. panta 4. punktam uzglabā un apkopo informāciju par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10.1., 10.2. un 11.3. apakšpunktā minētajos gadījumos, ja tiek piesaistīti sadarbības partneri, </w:t>
      </w:r>
      <w:r w:rsidR="00000000" w:rsidRPr="00000000" w:rsidDel="00000000">
        <w:rPr>
          <w:i w:val="1"/>
          <w:rtl w:val="0"/>
        </w:rPr>
        <w:t xml:space="preserve">de minimis</w:t>
      </w:r>
      <w:r w:rsidR="00000000" w:rsidRPr="00000000" w:rsidDel="00000000">
        <w:rPr>
          <w:rtl w:val="0"/>
        </w:rPr>
        <w:t xml:space="preserve"> atbalstu uzskaita tam finansējuma saņēmējam vai sadarbības partnerim, kura īpašumā būs iegādājamās medicīniskās iekārtas vai kura īpašumā ir attīstāmās telpas;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un sadarbības partneris dokumentāciju, kas saistīta ar atbalsta piešķiršanu, glabā 10 gadus no atbalsta piešķiršanas dienas, bet atbalsta sniedzējs dokumentāciju, kas saistīta ar </w:t>
      </w:r>
      <w:r w:rsidR="00000000" w:rsidRPr="00000000" w:rsidDel="00000000">
        <w:rPr>
          <w:i w:val="1"/>
          <w:rtl w:val="0"/>
        </w:rPr>
        <w:t xml:space="preserve">de minimis</w:t>
      </w:r>
      <w:r w:rsidR="00000000" w:rsidRPr="00000000" w:rsidDel="00000000">
        <w:rPr>
          <w:rtl w:val="0"/>
        </w:rPr>
        <w:t xml:space="preserve"> atbalsta piešķiršanu, glabā 10 gadus no pēdējā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12.05.2020. noteikumiem Nr. 292; MK 17.08.2021. noteikumiem Nr. 559)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Nosacījumi atbalsta piešķiršanai kompensāciju veidā par vispārējas tautsaimnieciskas nozīmes pakalpojuma 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finansējumu šo noteikumu 36. punktā minētajām atbalstāmajām darbībām nevar piešķirt kā šo noteikumu 16. punktā minēto </w:t>
      </w:r>
      <w:r w:rsidR="00000000" w:rsidRPr="00000000" w:rsidDel="00000000">
        <w:rPr>
          <w:i w:val="1"/>
          <w:rtl w:val="0"/>
        </w:rPr>
        <w:t xml:space="preserve">de minimis</w:t>
      </w:r>
      <w:r w:rsidR="00000000" w:rsidRPr="00000000" w:rsidDel="00000000">
        <w:rPr>
          <w:rtl w:val="0"/>
        </w:rPr>
        <w:t xml:space="preserve"> atbalstu, finansējumu piešķir kā atbalstu sabiedrisko pakalpojumu sniedzējam saskaņā ar šīs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saņēmēji un sadarbības partneri (izņemot pašvaldības) ir sabiedrisko pakalpojumu sniedzēji, un tiem atbilstoši veselības aprūpes jomu regulējošiem normatīvajiem aktiem ir noslēgts deleģēšanas līgums ar Nacionālo veselības dienestu par sabiedrisko pakalpojumu sniegšanu. Saskaņā ar valsts atbalsta nosacījumiem, kas norādīti Eiropas Komisijas 2011. gada 20. decembra Lēmumā Nr. 2012/21/ES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2012/21/ES), deleģēšanas līgumā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 pakalpojumu izpildi saskaņā ar katram konkrētajam pakalpojumam izvirzītajām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12.05.2020. noteikumiem Nr. 292)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18. punktā minēto atbalstu drīkst kumulēt ar citu valsts atbalstu, kas sniegts saskaņā ar Komisijas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atbalsts tiek piešķirts saskaņā ar valsts atbalsta nosacījumiem, kas norādīti Komisijas lēmumā Nr. 2012/21/ES, finansējuma saņēmējam un sadarbības partnerim jāveic attīstāmās infrastruktūras izmantošanas proporcijas aprēķins valsts apmaksāto veselības aprūpes pakalpojumu sniegšanai un citu darbību veikšanai un jāpiemēro tā projekta kopējam finansējumam, nosakot publiskā un privātā finansējuma apmēru. 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publ_kop</w:t>
            </w:r>
            <w:r w:rsidR="00000000" w:rsidRPr="00000000" w:rsidDel="00000000">
              <w:rPr>
                <w:b w:val="1"/>
                <w:i w:val="1"/>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publ_x</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w:t>
            </w:r>
            <w:r w:rsidR="00000000" w:rsidRPr="00000000" w:rsidDel="00000000">
              <w:rPr>
                <w:b w:val="1"/>
                <w:i w:val="1"/>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S</w:t>
            </w:r>
            <w:r w:rsidR="00000000" w:rsidRPr="00000000" w:rsidDel="00000000">
              <w:rPr>
                <w:b w:val="1"/>
                <w:i w:val="1"/>
                <w:rtl w:val="0"/>
              </w:rPr>
              <w:t xml:space="preserve">y</w:t>
            </w:r>
            <w:r w:rsidR="00000000" w:rsidRPr="00000000" w:rsidDel="00000000">
              <w:rPr>
                <w:b w:val="1"/>
                <w:i w:val="1"/>
                <w:rtl w:val="0"/>
              </w:rPr>
              <w:t xml:space="preserve">)</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L</w:t>
            </w:r>
            <w:r w:rsidR="00000000" w:rsidRPr="00000000" w:rsidDel="00000000">
              <w:rPr>
                <w:b w:val="1"/>
                <w:i w:val="1"/>
                <w:rtl w:val="0"/>
              </w:rPr>
              <w:t xml:space="preserve">m_y</w:t>
            </w:r>
            <w:r w:rsidR="00000000" w:rsidRPr="00000000" w:rsidDel="00000000">
              <w:rPr>
                <w:b w:val="1"/>
                <w:i w:val="1"/>
                <w:rtl w:val="0"/>
              </w:rPr>
              <w:t xml:space="preserve">)</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finansējuma saņēmējs projekta ietvaros attīsta tikai to infrastruktūru, kas tieši attiecināma uz ģimenes ārsta pakalpojumu sniegšanu, tad infrastruktūras izmantošanas laiku valsts apmaksāto ģimenes ārsta sniegto veselības aprūpes pakalpojumu sniegšanai aprēķina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attiecīgā gada publisko izmaksu maksimālo apmēru, izmantojot šo noteikumu 22. punktā minēto formulu;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infrastruktūras izmantošanas laiku citu darbību veikšanai, izmantojot šādu formulu (ievērojot, ka viena pacienta pieņemšanas laiks ir 13,6 minūtes):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b w:val="1"/>
          <w:i w:val="1"/>
          <w:vertAlign w:val="subscript"/>
          <w:rtl w:val="0"/>
        </w:rPr>
        <w:t xml:space="preserve">Lm_y = Nm x 0,227</w:t>
      </w:r>
      <w:r w:rsidR="00000000" w:rsidRPr="00000000" w:rsidDel="00000000">
        <w:rPr>
          <w:rtl w:val="0"/>
        </w:rPr>
        <w:t xml:space="preserve">,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m_y</w:t>
      </w:r>
      <w:r w:rsidR="00000000" w:rsidRPr="00000000" w:rsidDel="00000000">
        <w:rPr>
          <w:rtl w:val="0"/>
        </w:rPr>
        <w:t xml:space="preserve"> – laiks, kurā attiecīgo ģimenes ārsta praksi paredzēts izmantot citu darbību veikšanai (stundas gadā);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0,227</w:t>
      </w:r>
      <w:r w:rsidR="00000000" w:rsidRPr="00000000" w:rsidDel="00000000">
        <w:rPr>
          <w:rtl w:val="0"/>
        </w:rPr>
        <w:t xml:space="preserve"> – vidējais viena pacienta pieņemšanas laiks stundās (13,6 minūtes);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m</w:t>
      </w:r>
      <w:r w:rsidR="00000000" w:rsidRPr="00000000" w:rsidDel="00000000">
        <w:rPr>
          <w:rtl w:val="0"/>
        </w:rPr>
        <w:t xml:space="preserve"> – veselības aprūpes maksas pakalpojumu skaits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infrastruktūras izmantošanas laiku valsts apmaksāto ģimenes ārsta sniegto veselības aprūpes pakalpojumu sniegšanai,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b w:val="1"/>
          <w:i w:val="1"/>
          <w:vertAlign w:val="subscript"/>
          <w:rtl w:val="0"/>
        </w:rPr>
        <w:t xml:space="preserve">Lv_y = Lprakse – Lm_y</w:t>
      </w:r>
      <w:r w:rsidR="00000000" w:rsidRPr="00000000" w:rsidDel="00000000">
        <w:rPr>
          <w:rtl w:val="0"/>
        </w:rPr>
        <w:t xml:space="preserve"> ,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v_y</w:t>
      </w:r>
      <w:r w:rsidR="00000000" w:rsidRPr="00000000" w:rsidDel="00000000">
        <w:rPr>
          <w:rtl w:val="0"/>
        </w:rPr>
        <w:t xml:space="preserve"> – laiks, kurā attiecīgajā ģimenes ārsta praksē paredzēts sniegt valsts apmaksātos veselības aprūpes pakalpojumus (stundas gadā);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m_y</w:t>
      </w:r>
      <w:r w:rsidR="00000000" w:rsidRPr="00000000" w:rsidDel="00000000">
        <w:rPr>
          <w:rtl w:val="0"/>
        </w:rPr>
        <w:t xml:space="preserve"> – laiks, kurā attiecīgo ģimenes ārsta praksi paredzēts izmantot citu darbību veikšanai (stundas gadā);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prakse</w:t>
      </w:r>
      <w:r w:rsidR="00000000" w:rsidRPr="00000000" w:rsidDel="00000000">
        <w:rPr>
          <w:rtl w:val="0"/>
        </w:rPr>
        <w:t xml:space="preserve"> – prakses darba laiks (stundas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finansējuma saņēmējs projekta ietvaros plāno attīstīt uz attiecīgo ģimenes ārsta pakalpojumu sniegšanu attiecināmo palīginfrastruktūru, kurai nav iespējams noteikt infrastruktūras izmantošanas laika sadalījumu valsts apmaksāto veselības aprūpes pakalpojumu sniegšanai un citu darbību veikšanai (turpmāk – laika sadalījums), tad laika sadalījumu aprēķina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attiecīgās palīginfrastruktūras izmantošanas laiku valsts apmaksāto veselības aprūpes pakalpojumu sniegšanai,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vertAlign w:val="subscript"/>
                <w:rtl w:val="0"/>
              </w:rPr>
              <w:t xml:space="preserve">Lv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vertAlign w:val="subscript"/>
                <w:rtl w:val="0"/>
              </w:rPr>
              <w:t xml:space="preserve">∑(Pz × Lz × Prv_z)</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i w:val="1"/>
                <w:vertAlign w:val="subscript"/>
                <w:rtl w:val="0"/>
              </w:rPr>
              <w:t xml:space="preserve">× L'max</w:t>
            </w:r>
            <w:r w:rsidR="00000000" w:rsidRPr="00000000" w:rsidDel="00000000">
              <w:rPr>
                <w:rtl w:val="0"/>
              </w:rPr>
              <w:t xml:space="preserve">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vertAlign w:val="subscript"/>
                <w:rtl w:val="0"/>
              </w:rPr>
              <w:t xml:space="preserve">∑(Pz × Lz)</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z</w:t>
      </w:r>
      <w:r w:rsidR="00000000" w:rsidRPr="00000000" w:rsidDel="00000000">
        <w:rPr>
          <w:rtl w:val="0"/>
        </w:rPr>
        <w:t xml:space="preserve"> – ar attiecīgo atbalstāmo darbību saistītās infrastruktūras (kurai ir iespējams noteikt laika sadalījumu) skaits;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 ar attiecīgo atbalstāmo darbību saistītās infrastruktūras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ar attiecīgo atbalstāmo darbību saistītās infrastruktūras (kurai ir iespējams noteikt laika sadalījumu) izmantošanas darba laiks gadā (stundas gadā);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Pr</w:t>
      </w:r>
      <w:r w:rsidR="00000000" w:rsidRPr="00000000" w:rsidDel="00000000">
        <w:rPr>
          <w:i w:val="1"/>
          <w:vertAlign w:val="subscript"/>
          <w:rtl w:val="0"/>
        </w:rPr>
        <w:t xml:space="preserve">v</w:t>
      </w:r>
      <w:r w:rsidR="00000000" w:rsidRPr="00000000" w:rsidDel="00000000">
        <w:rPr>
          <w:i w:val="1"/>
          <w:rtl w:val="0"/>
        </w:rPr>
        <w:t xml:space="preserve"> –</w:t>
      </w:r>
      <w:r w:rsidR="00000000" w:rsidRPr="00000000" w:rsidDel="00000000">
        <w:rPr>
          <w:rtl w:val="0"/>
        </w:rPr>
        <w:t xml:space="preserve"> ar attiecīgo atbalstāmo darbību saistītās infrastruktūras (kurai ir iespējams noteikt laika sadalījumu) izmantošanas proporcija (</w:t>
      </w:r>
      <w:r w:rsidR="00000000" w:rsidRPr="00000000" w:rsidDel="00000000">
        <w:rPr>
          <w:i w:val="1"/>
          <w:rtl w:val="0"/>
        </w:rPr>
        <w:t xml:space="preserve">L</w:t>
      </w:r>
      <w:r w:rsidR="00000000" w:rsidRPr="00000000" w:rsidDel="00000000">
        <w:rPr>
          <w:i w:val="1"/>
          <w:vertAlign w:val="subscript"/>
          <w:rtl w:val="0"/>
        </w:rPr>
        <w:t xml:space="preserve">v </w:t>
      </w:r>
      <w:r w:rsidR="00000000" w:rsidRPr="00000000" w:rsidDel="00000000">
        <w:rPr>
          <w:rtl w:val="0"/>
        </w:rPr>
        <w:t xml:space="preserve">/</w:t>
      </w:r>
      <w:r w:rsidR="00000000" w:rsidRPr="00000000" w:rsidDel="00000000">
        <w:rPr>
          <w:i w:val="1"/>
          <w:vertAlign w:val="subscript"/>
          <w:rtl w:val="0"/>
        </w:rPr>
        <w:t xml:space="preserve"> </w:t>
      </w:r>
      <w:r w:rsidR="00000000" w:rsidRPr="00000000" w:rsidDel="00000000">
        <w:rPr>
          <w:rtl w:val="0"/>
        </w:rPr>
        <w:t xml:space="preserve">(</w:t>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i w:val="1"/>
          <w:rtl w:val="0"/>
        </w:rPr>
        <w:t xml:space="preserve"> + L</w:t>
      </w:r>
      <w:r w:rsidR="00000000" w:rsidRPr="00000000" w:rsidDel="00000000">
        <w:rPr>
          <w:i w:val="1"/>
          <w:vertAlign w:val="subscript"/>
          <w:rtl w:val="0"/>
        </w:rPr>
        <w:t xml:space="preserve">m</w:t>
      </w:r>
      <w:r w:rsidR="00000000" w:rsidRPr="00000000" w:rsidDel="00000000">
        <w:rPr>
          <w:rtl w:val="0"/>
        </w:rPr>
        <w:t xml:space="preserve">)) valsts apmaksāto pakalpojumu sniegšanai (%);</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perscript"/>
          <w:rtl w:val="0"/>
        </w:rPr>
        <w:t xml:space="preserve">'</w:t>
      </w:r>
      <w:r w:rsidR="00000000" w:rsidRPr="00000000" w:rsidDel="00000000">
        <w:rPr>
          <w:i w:val="1"/>
          <w:vertAlign w:val="subscript"/>
          <w:rtl w:val="0"/>
        </w:rPr>
        <w:t xml:space="preserve">max</w:t>
      </w:r>
      <w:r w:rsidR="00000000" w:rsidRPr="00000000" w:rsidDel="00000000">
        <w:rPr>
          <w:rtl w:val="0"/>
        </w:rPr>
        <w:t xml:space="preserve"> – attīstāmās infrastruktūras (kurai nav iespējams noteikt laika sadalījumu) izmantošanas darba laiks gadā (stundas gadā), ko nosaka kā vidējo stundu skaitu no saistītās infrastruktūras izmantošanas darba laika sākuma agrākās diennakts stundas līdz darba laika beigu vēlākajai diennakts stundai, reizinot ar 365 dienām;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attiecīgās palīginfrastruktūras (kurai nav iespējams noteikt laika sadalījumu) izmantošanas laiku citu darbību veikšanai,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b w:val="1"/>
          <w:i w:val="1"/>
          <w:vertAlign w:val="superscript"/>
          <w:rtl w:val="0"/>
        </w:rPr>
        <w:t xml:space="preserve">Lm = L'</w:t>
      </w:r>
      <w:r w:rsidR="00000000" w:rsidRPr="00000000" w:rsidDel="00000000">
        <w:rPr>
          <w:i w:val="1"/>
          <w:vertAlign w:val="subscript"/>
          <w:rtl w:val="0"/>
        </w:rPr>
        <w:t xml:space="preserve">max</w:t>
      </w:r>
      <w:r w:rsidR="00000000" w:rsidRPr="00000000" w:rsidDel="00000000">
        <w:rPr>
          <w:i w:val="1"/>
          <w:rtl w:val="0"/>
        </w:rPr>
        <w:t xml:space="preserve"> </w:t>
      </w:r>
      <w:r w:rsidR="00000000" w:rsidRPr="00000000" w:rsidDel="00000000">
        <w:rPr>
          <w:b w:val="1"/>
          <w:i w:val="1"/>
          <w:vertAlign w:val="subscript"/>
          <w:rtl w:val="0"/>
        </w:rPr>
        <w:t xml:space="preserve">– Lv</w:t>
      </w:r>
      <w:r w:rsidR="00000000" w:rsidRPr="00000000" w:rsidDel="00000000">
        <w:rPr>
          <w:rtl w:val="0"/>
        </w:rPr>
        <w:t xml:space="preserve"> ,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perscript"/>
          <w:rtl w:val="0"/>
        </w:rPr>
        <w:t xml:space="preserve">'</w:t>
      </w:r>
      <w:r w:rsidR="00000000" w:rsidRPr="00000000" w:rsidDel="00000000">
        <w:rPr>
          <w:i w:val="1"/>
          <w:vertAlign w:val="subscript"/>
          <w:rtl w:val="0"/>
        </w:rPr>
        <w:t xml:space="preserve">max</w:t>
      </w:r>
      <w:r w:rsidR="00000000" w:rsidRPr="00000000" w:rsidDel="00000000">
        <w:rPr>
          <w:rtl w:val="0"/>
        </w:rPr>
        <w:t xml:space="preserve"> – attīstāmās infrastruktūras (kurai nav iespējams noteikt laika sadalījumu) izmantošanas darba laiks gadā (stundas gadā), ko nosaka kā vidējo stundu skaitu no saistītās infrastruktūras izmantošanas darba laika sākuma agrākās diennakts stundas līdz darba laika beigu vēlākajai diennakts stundai, reizinot ar 365 dienām;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attīstāmās infrastruktūras (kurai nav iespējams noteikt laika sadalījumu) izmantošanas laiks valsts apmaksāto veselības aprūpes pakalpojumu sniegšanai (stundas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un sadarbības partneris infrastruktūras izmantošanas proporciju aprēķina, izmantojot pēdējā gada datus vai divu pēdējo gadu vidējos datus par infrastruktūras izmantošanu. Ja iepriekšējo gadu dati par infrastruktūras izmantošanu nav pieejami vai tie atšķiras no attīstāmās infrastruktūras izmantošanas prognozes vairāk nekā par pieciem procentiem, finansējuma saņēmējs un sadarbības partneris izmanto plānotos infrastruktūras izmantošanas datus līdz brīdim, kad ir pieejami dati par attīstītās infrastruktūras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un sadarbības partneris infrastruktūras izmantošanas proporcijas aprēķinus apstiprina ar finansējuma saņēmēja un sadarbības partnera rīkojumu, aprēķina rezultātus norāda atbilstoši šo noteikumu 1. pielikumā minētajai veidlapai un pievieno kā pielikumu vienošanās dokumentam vai līgumam par projekta īstenošanu. Apstiprinātos finansējuma saņēmēja un sadarbības partnera rīkojumus finansējuma saņēmējs iesniedz sadarbības iestādē: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iesniedzot pēdējo ikgadējo pēcprojekta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21. punktu, sadarbības iestāde kopējās publiskās projekta attiecināmās izmaksas nepalielina.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tiek konstatēts, ka saskaņā ar šo noteikumu 21. 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5 % no projekta kopējām publiskajām izmaksām, finansējuma saņēmējs var neveikt izmaiņas projektā līdz projekta pēcuzraudzības perioda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5 % no projekta kopējām publiskajām izmaksām, finansējuma saņēmējs mēneša laikā pēc pārmērīgas kompensācijas konstatēšanas iesniedz grozījumus projektā, nodrošinot pārmērīgas kompensācijas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projekta pēcuzraudzības pārskatu iesniedz grozījumus projektā, nodrošinot, ka pārmērīgas kompensācijas nav.</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pienākums iesniegt sadarbības iestādei vispārējas tautsaimnieciskas nozīmes pakalpojuma pilnvarojuma uzlicēja apliecinājumu, ka tas kontrolēs un pārskatīs šo noteikumu </w:t>
      </w:r>
      <w:r w:rsidR="00000000" w:rsidRPr="00000000" w:rsidDel="00000000">
        <w:rPr>
          <w:rtl w:val="0"/>
        </w:rPr>
        <w:t xml:space="preserve">19.6.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Pilnvarojuma uzlicējam un atbalsta saņēmējam ir pienākums dokumentāciju par saņemto atbalstu glabāt 10 gadus no pilnvarojuma termiņa beigām, savukārt atbalsta sniedzējam, kas nav pilnvarojuma uzlicējs, bet piešķir komercdarbības atbalstu saskaņā ar šīs nodaļas prasībām, ir pienākums dokumentāciju, kas saistīta ar atbalsta piešķiršanu, glabāt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iznomā citai ārstniecības iestādei ģimenes ārstu veselības aprūpes pakalpojumu sniegšanai, šo noteikumu 36. punktā minētās atbalstāmās darbības finansēšanai no publiskiem līdzekļiem ir atbalstāmas, ievērojot infrastruktūras izmantošanas proporcijas noteikšanas kārtību, ja vienlaikus ir izpildīti šādi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un sadarbības partnerim noteikts pienākums nodrošināt infrastruktūru citai ārstniecības iestādei valsts apmaksāto veselības aprūpes pakalpojumu sniegšanai, par ko ir noslēgts attiecīgs līgums, ievērojot normatīvos aktus par atlīdzības maksājumiem par sabiedrisko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kas netiek finansētas no publiskā finansējuma un kas tieši vai netieši saistītas ar infrastruktūras iznomāšanu;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ārstniecības iestādes izmaksām, kas netiek finansētas no publiskā finansējuma;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procents tiek noteikts kā komersantu finanšu analīzes rādītājs "Finansiālās rentabilitātes procents pēc nodokļiem" atbilstoši saimniecisko darbību statistiskajai klasifikācijai (NACE 2. red.) attiecīgajā pārskata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un sadarbības partneris ar attiecīgiem dokumentiem pamatoti un pārskatāmi var pierādīt infrastruktūras nomas maksas aprēķinu.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17.08.2021. noteikumiem Nr. 559)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Finansējuma saņēmējs un sadarbības partneris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un sadarbības partneris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projekta ietvaros, nodrošinot infrastruktūru citai ārstniecības iestādei, attiecīgajiem ienākumiem jāatbilst šo noteikumu 30. punktā minētajām prasībām. Finansējuma saņēmējs nodrošina, ka dokumentācija, kas saistīta ar šajā punktā minēto nosacījumu izpildi un attiecas uz projekta ietvaros attīstīto infrastruktūru, tiek saglabāta un ir pieejama sadarbības iestādei, kas veic šo noteikumu 21. punktā minētās proporcijas aprēķina kontroli.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piešķiršanas nosacījumi pašvaldībām un pašvaldību iestādēm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12.05.2020. noteikumu Nr. 292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finansējuma saņēmējs, kas ir pašvaldība vai pašvaldības iestāde, iznomā sev piederošās telpas vai telpas un aprīkojumu ģimenes ārsta praksēm publiskas funkcijas vai deleģēta valsts pārvaldes uzdevuma veikšanai atbilstoši normatīvajam regulējumam par attiecīgās mantas iznomāšanu, tad finansējums šo noteikumu 36. punktā minētajām atbalstāmajām darbībām minētajam finansējuma saņēmējam nav kvalificējams kā valsts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finansējuma saņēmējs, kas ir pašvaldība vai pašvaldības iestāde, iznomā sev piederošās telpas vai telpas un aprīkojumu ģimenes ārsta praksēm par tirgus cenu, tad finansējumu pašvaldībai vai pašvaldības iestādei šo noteikumu 36. punktā minētajām atbalstāmajām darbībām piešķir kā atbalstu saskaņā ar Komisijas regulu Nr. 1407/2013.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aprēķināts kā starpība starp noteikto nomas maksu un tirgus nomas maksu, piešķir pašvaldība vai pašvaldības iestāde telpu vai telpu un aprīkojuma nomniekam kā </w:t>
      </w:r>
      <w:r w:rsidR="00000000" w:rsidRPr="00000000" w:rsidDel="00000000">
        <w:rPr>
          <w:i w:val="1"/>
          <w:rtl w:val="0"/>
        </w:rPr>
        <w:t xml:space="preserve">de minimis</w:t>
      </w:r>
      <w:r w:rsidR="00000000" w:rsidRPr="00000000" w:rsidDel="00000000">
        <w:rPr>
          <w:rtl w:val="0"/>
        </w:rPr>
        <w:t xml:space="preserve"> atbalstu saskaņā ar šo noteikumu V nodaļas nosacījumiem vai kā kompensāciju par pakalpojumiem ar vispārēju tautsaimniecisku nozīmi saskaņā ar šo noteikumu VI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13.08.2019. noteikumu Nr. 369 redakcijā, kas grozīta ar MK 12.05.2020. noteikumiem Nr. 292)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Specifiskā atbalsta ietvaros ir atbalstāmas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piegāde;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36. punktā minētās atbalstāmās darbības ir atbalstāmas infrastruktūrā, kas ir tieši saistīta ar ģimenes ārsta un šo noteikumu 2. un 3. pielikumā minēto ģimenes ārstu sadarbības praksē vai primārajā aprūpes centrā iesaistāmo speciālistu – pediatra, fizioterapeita, vecmātes, ginekologa vai cita speciālista – pakalpojumu sniegšanu vai nodrošina pieejamību ģimenes ārsta praksei.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36.1. apakšpunktā minētās atbalstāmās darbības ietvaros ir attiecināmas šādas ar būvniecību saistītas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būvniecības jomu regulējošos normatīvajos aktos noteiktajām prasībām – būvniecības ieceres dokumentācijas (tai skaitā būvprojekta) izstrādes izmaksas, būvprojekta ekspertīzes izmaksas, autoruzraudzības un būvuzraudzības izmaksas, būvspeciālistu un būvdarbu veicēju civiltiesiskās atbildības obligātās apdrošināšanas izmaksas un citas ar projektēšanu saistītās izmaksas, kas nepārsniedz 10 % no kopējām attiecināmajām izmaksām. Autoruzraudzības un būvuzraudzības izmaksas un būvniecības ieceres dokumentācijas (tai skaitā būvprojekta) izstrādes izmaksas ir attiecināmas līdz 10 % no būvdarbu līguma summas;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tai skaitā jaunas būvniecības, atjaunošanas un pārbūves izmaksas, būvlaukuma ierīkošanas un sakārtošanas izmaksas un apzaļumošanas izmaksas atbilstoši būvniecības ieceres dokumentācijas risinājumam.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36.2. apakšpunktā minētās atbalstāmās darbības ietvaros ir attiecināmas ārstniecības procesam un ģimenes ārsta prakses telpu funkcionalitātes nodrošināšanai tieši nepieciešamo tehnoloģiju iegādes, piegādes un uzstādīšanas izmaksas,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ierīces un 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mēbeles;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ierīces un aprīkojums;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Šo noteikumu 36.2. apakšpunktā minētās atbalstāmās darbības ietvaros ir attiecināmas ģimenes ārstu prakšu infrastruktūras kapacitātes stiprināšanas izmaksas Covid-19 un citu sabiedrības veselības krīžu gadījumos, kas iekļauj izmaksas par medicīnisko tehnoloģiju, ierīču un iekārtu, mēbeļu, saimniecisko ierīču un aprīkojuma un informācijas tehnoloģiju aprīkojuma iegādēm, piegādēm un uzstādīšanu, ja tās atbilst šo noteikumu prasībām un ir atbalstītas projektu iesniegumu atlasē.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 sk. 76.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10. punktā minētajiem finansējuma saņēmējiem, kas ir publisko iepirkumu jomu regulējošo normatīvo aktu subjekti, attiecina šo noteikumu 39. punktā minēto tehnoloģiju faktiski uz iepirkumu pamata radušās iegādes, piegādes un uzstādīšanas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10. punktā minētajiem finansējuma saņēmējiem, kuri nav publisko iepirkumu jomu regulējošo normatīvo aktu subjekti, ir attiecināmas šo noteikumu 39.1. apakšpunktā minēto tehnoloģiju iegādes, piegādes un uzstādīšanas izmaksas, piemērojot vienas vienības izmaksu metodi, ko izstrādā atbildīgā iestāde. Ja uz šo noteikumu 39.1. apakšpunktā minētajām medicīniskajām tehnoloģijām, ierīcēm un iekārtām neattiecas atbildīgās iestādes izstrādātā vienas vienības izmaksu metode, to iegādes, piegādes un uzstādīšanas izmaksas attiecina uz iegādes, piegādes un uzstādīšanas izmaksām, kas radušās uz iepirkumu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10. punktā minētajiem finansējuma saņēmējiem, kuri nav publisko iepirkumu jomu regulējošo normatīvo aktu subjekti, ir tiesības šo noteikumu 36.2. apakšpunktā minētās tehnoloģiju piegādes (ja tās pieejamas) iegādāties uz centralizēto iepirkumu institūciju veikto iepirkumu procedūru pamata Elektronisko iepirkumu sistēmas e-pasūtījumu apakšsistēmā.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Veselības ministrija nosaka un publicē savā tīmekļvietnē (https://www.vm.gov.lv/lv/veselibas-aprupes-infrastruktura-sam-932-4karta) šo noteikumu 39. un 39.</w:t>
      </w:r>
      <w:r w:rsidR="00000000" w:rsidRPr="00000000" w:rsidDel="00000000">
        <w:rPr>
          <w:vertAlign w:val="superscript"/>
          <w:rtl w:val="0"/>
        </w:rPr>
        <w:t xml:space="preserve">1 </w:t>
      </w:r>
      <w:r w:rsidR="00000000" w:rsidRPr="00000000" w:rsidDel="00000000">
        <w:rPr>
          <w:rtl w:val="0"/>
        </w:rPr>
        <w:t xml:space="preserve">punktā minēto tehnoloģiju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36.3. apakšpunktā minētā atbalstāmā darbība ietver informācijas un publicitātes nodrošināšanas izmaksas atbilstoši normatīvajiem aktiem par kārtību, kādā Eiropas Savienības struktūrfondu un Kohēzijas fonda ieviešanā 2014.–2020. gada plānošanas periodā nodrošina komunikācijas un vizuālās identitātes prasību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36. punktā minēto atbalstāmo darbību īstenošanai ir attiecināmas neparedzētās izmaksas līdz 2 % no projekta kopējām tiešajām attiecināmajām izmaksām, ko projekta iesniegumā plāno kā vienu izmaksu pozīciju un izmanto projekta tiešo attiecināmo papildu īstenošanas izmaksu segšanai, kas neparedzamu apstākļu dēļ ir kļuvušas nepieciešamas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un sadarbības partneris tos nevar atgūt atbilstoši normatīvajiem aktiem par pievienotās vērtības nodokli.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 minētās atbalstāmās darbības izmaksas ir attiecināmas no līguma vai vienošanās par projekta īstenošanu noslēgšanas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Specifiskā atbalsta projektu īstenošanas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Specifiskā atbalsta ietvaros ir atbalstāma šādu ģimenes ārsta prakses modeļu infrastruktūras attīstība: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individuālā ģimenes ārsta prakse;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sadarbības prakse;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aprūpes centrs.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Veselības ministrija nosaka un publicē savā tīmekļvietnē (http://esfondi.vm.gov.lv) to pašvaldību sarakstu, kuras var nodrošināt šo noteikumu 48.3. apakšpunktā minēto primārās aprūpes centru attīstības pilotprojektus.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48.1. apakšpunktā minētajā modelī darbojas individuālā ģimenes ārsta prakse, kura darbu organizē atbilstoši veselības aprūpes jomu regulējošo normatīvo aktu prasībām ģimenes ārsta praksei.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48.2. apakšpunktā minētajā modelī sadarbojas atsevišķas 2–5 ģimenes ārsta prakses, kas atrodas un sniedz pakalpojumus vienā vai dažādās adresēs līdz 5 km attālumā viena no otras. Ģimenes ārstu sadarbības prakse darbu organizē atbilstoši veselības aprūpes jomu regulējošo normatīvo aktu prasībām ģimenes ārsta praksei un nodrošina šo noteikumu 2. pielikumā minēto papildu prasību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48.3. apakšpunktā minētajā modelī sadarbojas atsevišķas 3–5 ģimenes ārsta prakses, kas atrodas un sniedz pakalpojumus vienā adresē. Primārās aprūpes centrs darbu organizē atbilstoši veselības aprūpes jomu regulējošo normatīvo aktu prasībām ģimenes ārsta praksei un nodrošina šo noteikumu 3. pielikumā minēto papildu prasību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iesniedzējs, kas attīsta šo noteikumu 48.1. apakšpunktā minēto individuālo ģimenes ārsta praksi ar vienu pakalpojuma sniegšanas vietu, var pretendēt uz attiecināmo izmaksu kopsummu, kas nepārsniedz 15 000 </w:t>
      </w:r>
      <w:r w:rsidR="00000000" w:rsidRPr="00000000" w:rsidDel="00000000">
        <w:rPr>
          <w:i w:val="1"/>
          <w:rtl w:val="0"/>
        </w:rPr>
        <w:t xml:space="preserve">euro</w:t>
      </w:r>
      <w:r w:rsidR="00000000" w:rsidRPr="00000000" w:rsidDel="00000000">
        <w:rPr>
          <w:rtl w:val="0"/>
        </w:rPr>
        <w:t xml:space="preserve"> uz vienu projekta ietvaros attīstāmo ģimenes ārsta praksi, savukārt projekta iesniedzējs, kas attīsta šo noteikumu 48.1. apakšpunktā minēto individuālo ģimenes ārsta praksi ar divām vai vairākām pakalpojuma sniegšanas vietām, var pretendēt uz attiecināmo izmaksu kopsummu, kas nepārsniedz 17 000 </w:t>
      </w:r>
      <w:r w:rsidR="00000000" w:rsidRPr="00000000" w:rsidDel="00000000">
        <w:rPr>
          <w:i w:val="1"/>
          <w:rtl w:val="0"/>
        </w:rPr>
        <w:t xml:space="preserve">euro</w:t>
      </w:r>
      <w:r w:rsidR="00000000" w:rsidRPr="00000000" w:rsidDel="00000000">
        <w:rPr>
          <w:rtl w:val="0"/>
        </w:rPr>
        <w:t xml:space="preserve"> uz vienu projekta ietvaros attīstāmo ģimenes ārsta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17.08.2021. noteikumiem Nr. 559)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Projekta iesniedzējs, kas attīsta šo noteikumu 48.2. apakšpunktā minēto ģimenes ārstu sadarbības praksi, var pretendēt uz attiecināmo izmaksu kopsummu, kas nepārsniedz 17 000 </w:t>
      </w:r>
      <w:r w:rsidR="00000000" w:rsidRPr="00000000" w:rsidDel="00000000">
        <w:rPr>
          <w:i w:val="1"/>
          <w:rtl w:val="0"/>
        </w:rPr>
        <w:t xml:space="preserve">euro</w:t>
      </w:r>
      <w:r w:rsidR="00000000" w:rsidRPr="00000000" w:rsidDel="00000000">
        <w:rPr>
          <w:rtl w:val="0"/>
        </w:rPr>
        <w:t xml:space="preserve"> uz vienu projekta ietvaros attīstāmo ģimenes ārsta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17.08.2021. noteikumiem Nr. 559)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iesniedzējs, kas attīsta šo noteikumu 48.3. apakšpunktā minēto primārās aprūpes centru, var pretendēt uz attiecināmo izmaksu kopsummu, kas nepārsniedz 30 000 </w:t>
      </w:r>
      <w:r w:rsidR="00000000" w:rsidRPr="00000000" w:rsidDel="00000000">
        <w:rPr>
          <w:i w:val="1"/>
          <w:rtl w:val="0"/>
        </w:rPr>
        <w:t xml:space="preserve">euro</w:t>
      </w:r>
      <w:r w:rsidR="00000000" w:rsidRPr="00000000" w:rsidDel="00000000">
        <w:rPr>
          <w:rtl w:val="0"/>
        </w:rPr>
        <w:t xml:space="preserve"> uz vienu projekta ietvaros attīstāmo ģimenes ārsta praksi.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Projekta iesniedzējs, kas attīsta šo noteikumu 48.3. apakšpunktā minēto primārās aprūpes centru un kas papildus šo noteikumu 52. punktā un 3. pielikumā noteiktajām prasībām izstrādā un saskaņā ar šo noteikumu 61. punktu iesniedz Veselības ministrijā primārās aprūpes centra stratēģiju, var pretendēt uz attiecināmo izmaksu kopsummu, kas nepārsniedz 100 000 </w:t>
      </w:r>
      <w:r w:rsidR="00000000" w:rsidRPr="00000000" w:rsidDel="00000000">
        <w:rPr>
          <w:i w:val="1"/>
          <w:rtl w:val="0"/>
        </w:rPr>
        <w:t xml:space="preserve">euro</w:t>
      </w:r>
      <w:r w:rsidR="00000000" w:rsidRPr="00000000" w:rsidDel="00000000">
        <w:rPr>
          <w:rtl w:val="0"/>
        </w:rPr>
        <w:t xml:space="preserve"> uz vienu projekta ietvaros attīstāmo ģimenes ārsta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11. punktā minētais projekta iesniedzējs primārās aprūpes centra attīstības projekta ietvaros var attīstīt infrastruktūru jaunai ģimenes ārsta praksei, kas vēl nav reģistrēta ārstniecības iestāžu reģistrā, attiecīgi projekta iesniegumam pievienojot nepieciešamības pamatojumu un dokumentāciju, kas apliecina, ka visas projekta ietvaros attīstītās ģimenes ārsta prakses būs atbilstošas šiem noteikumiem un specifiskā atbalsta kritērijiem un tiks reģistrētas ārstniecības iestāžu reģistrā līdz projekta noslēguma maksājuma veikšanai.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specifiskā atbalsta ietvaros var īstenot vienu vai vairākus projektus par vienu vai vairākām ģimenes ārsta praksēm, kas atrodas vienā vai dažādās pakalpojumu sniegšanas adresēs, ievērojot, ka vienai ģimenes ārsta praksei pieejamais finansējums nepārsniedz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55.</w:t>
      </w:r>
      <w:r w:rsidR="00000000" w:rsidRPr="00000000" w:rsidDel="00000000">
        <w:rPr>
          <w:vertAlign w:val="superscript"/>
          <w:rtl w:val="0"/>
        </w:rPr>
        <w:t xml:space="preserve">1</w:t>
      </w:r>
      <w:r w:rsidR="00000000" w:rsidRPr="00000000" w:rsidDel="00000000">
        <w:rPr>
          <w:rtl w:val="0"/>
        </w:rPr>
        <w:t xml:space="preserve"> punktā noteikto attiecināmo izmaksu kopsummu uz vienu attīstāmo ģimenes ārsta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Specifiskā atbalsta ietvaros projektu iesniegumu atlases ceturto kārtu īsteno divās apakškārtās: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apakškārtu par šo noteikumu 48.1. un 48.2. apakšpunktā minēto individuālo ģimenes ārsta prakšu un ģimenes ārstu sadarbības prakšu attīstību izsludina par pieejamo attiecināmo finansējumu, kas nepārsniedz 4 236 613 </w:t>
      </w:r>
      <w:r w:rsidR="00000000" w:rsidRPr="00000000" w:rsidDel="00000000">
        <w:rPr>
          <w:i w:val="1"/>
          <w:rtl w:val="0"/>
        </w:rPr>
        <w:t xml:space="preserve">euro,</w:t>
      </w:r>
      <w:r w:rsidR="00000000" w:rsidRPr="00000000" w:rsidDel="00000000">
        <w:rPr>
          <w:rtl w:val="0"/>
        </w:rPr>
        <w:t xml:space="preserve"> ar projektu iesniegumu iesniegšanas termiņu, kas nav mazāks par diviem mēnešiem. Ja pirmajā projektu iesniegumu atlases apakškārtā neapstiprina projektu iesniegumus par visu specifiskā atbalsta ietvaros pieejamo finansējumu, rīko nākamo pirmās apakškārtas projektu iesniegumu atlasi par atlikušo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apakškārtu par šo noteikumu 48.3. apakšpunktā minēto primārās aprūpes centru attīstības pilotprojektiem izsludina par pieejamo attiecināmo finansējumu, kas nepārsniedz 239 765 </w:t>
      </w:r>
      <w:r w:rsidR="00000000" w:rsidRPr="00000000" w:rsidDel="00000000">
        <w:rPr>
          <w:i w:val="1"/>
          <w:rtl w:val="0"/>
        </w:rPr>
        <w:t xml:space="preserve">euro,</w:t>
      </w:r>
      <w:r w:rsidR="00000000" w:rsidRPr="00000000" w:rsidDel="00000000">
        <w:rPr>
          <w:rtl w:val="0"/>
        </w:rPr>
        <w:t xml:space="preserve"> ar projektu iesniegumu iesniegšanas termiņu, kas nav mazāks par trim mēnešiem. Ja otrajā projektu iesniegumu atlases apakškārtā neapstiprina projektu iesniegumus par visu specifiskā atbalsta ietvaros pieejamo finansējumu, tad, saskaņojot ar atbildīgo iestādi, rīko nākamo otrās apakškārtas projektu iesniegumu atlasi par atlikušo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58.1. apakšpunktā minēto pirmo projektu iesniegumu atlases apakškārtu izsludina, kad atbildīgā iestāde ir izstrādājusi un saskaņojusi ar vadošo iestādi šo noteikumu 41. punktā minēto vienas vienības izmaksu metodi.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iestāde šo noteikumu 58.2. apakšpunktā minēto otro projektu iesniegumu atlases apakškārtu izsludina, kad no atbildīgās iestādes saņemta informācija par otrās projektu iesniegumu atlases apakškārtas izsludināšanu.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šo noteikumu stāšanās spēkā, bet ne vēlāk kā mēnesi pēc otrās projektu iesniegumu atlases apakškārtas izsludināšanas dienas projekta iesniedzējs, kas plāno attīstīt šo noteikumu 48.3. apakšpunktā minēto primārās aprūpes centru, sagatavo un iesniedz vērtēšanai Veselības ministrijā dokumentāciju, kas pierāda ģimenes ārsta prakšu darbības modeļa atbilstību primārās aprūpes centra modelim.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Veselības ministrija 15 darbdienu laikā pēc šo noteikumu 61. punktā minētās dokumentācijas saņemšanas izvērtē to un sniedz projekta iesniedzējam atzinumu par atbilstību primārās aprūpes centra modelim, un, ja nepieciešams, pieprasa 10 darbdienu laikā veikt precizējumus dokumentācijā.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48.2. apakšpunktā minētajā ģimenes ārstu sadarbības praksē un šo noteikumu 48.3. apakšpunktā minētajā primārās aprūpes centrā iesaistīto ģimenes ārsta prakšu darbības modeļi jānodrošina laikposmā, kas nav īsāks par pieciem gadiem pēc noslēguma maksājuma veikšanas.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Veselības ministrija šo noteikumu 63. punktā minētajā laikposmā nodrošina pārbaudes par šo noteikumu 48.3. apakšpunktā minētā primārās aprūpes centra atbilstību šo noteikumu 52. punktā un 3. pielikumā minētajām prasībām primārās aprūpes centra modelim.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Projekta iesniedzējs, kas plāno attīstīt šo noteikumu 48.2. apakšpunktā minēto ģimenes ārstu sadarbības praksi, projekta iesniegumam pievieno sadarbības līgumu par ģimenes ārstu sadarbības prakses izveidi, kurā iekļauj informāciju, kas pierāda ģimenes ārstu sadarbības prakses atbilstību šo noteikumu 51. punktā un 2. pielikumā minētajām prasībām ģimenes ārstu sadarbības prakses modelim.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36.3. apakšpunktā minētos informācijas un publicitātes pasākumus, kas noteikti Eiropas Parlamenta un Padomes 2013. gada 17. decembra Regulas (EK)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(turpmāk – Regulas Nr. 1303/2013), XII pielikuma 2.2. sadaļā,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"Objektu skaits, kuros ERAF ieguldījumu rezultātā ir nodrošināta vides un informācijas pieejamība";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datus par projekta ietekmi uz šo noteikumu 7.2.1. un 7.2.2. apakšpunktā minētajiem rādītājiem;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ka uz projektu attiecinātie darbi vai to konkrētais apjoms netiek finansēti vai līdzfinansēti un ka nav plānots tos finansēt vai līdzfinansēt no citiem valsts un ārvalstu finanšu atbalsta instrumentiem, tādējādi novēršot dubultā finansējuma iespējamību;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 bet ne mazāk kā infrastruktūrā veikto ieguldījumu amortizācijas termiņā;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īstenota šo noteikumu 36.1. apakšpunktā minētā atbalstāmā darbība, nodrošina, ka projekta īstenošanas laikā un vismaz piecus gadus pēc projekta noslēguma maksājuma veikšanas, bet ne mazāk kā infrastruktūrā veikto ieguldījumu amortizācijas termiņā nekustamie īpašumi, kuri nepieciešami projekta īstenošanai, ir finansējuma saņēmēja, sadarbības partnera, valsts vai pašvaldības īpašumā, ilgtermiņa nomā, patapinājumā vai valdījumā, ir noslēgta vienošanās par apbūves tiesībām un tiesību prasība ir nostiprināta zemesgrāmatā. Ja investīcijas ir veiktas būvēs, nepalielinot būvapjomu, tad īpašumtiesībām vai citām tiesībām attiecībā uz zemi nav jābūt nostiprinātām zemesgrāmatā;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saskaņā ar normatīvajiem aktiem publisko iepirkumu jomā, īstenojot atklātu, pārredzamu, nediskriminējošu un konkurenci nodrošinošu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17.08.2021. noteikumiem Nr. 559)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Sadarbības iestāde, pamatojoties uz finansējuma saņēmēja pieprasījumu un atbilstoši projekta finansēšanas plānam, veicot avansa un starpposma maksājumus, ievēro nosacījumu, ka to kopsumma nepārsniedz 90 % no projektam piešķirtā Eiropas Reģionālās attīstības fonda un valsts budžeta finansējuma. Avansa maksājumu ir iespējams saņemt vairākos maksājumos.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Specifiskā atbalsta ietvaros projektus īsteno saskaņā ar vienošanos par projekta īstenošanu, bet ne ilgāk kā līdz 2023. gada 31. decembrim. Izstrādājot projektu iesniegumus, individuālos projektu īstenošanas termiņus plāno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projektos, kur tiek veikta tikai šo noteikumu 36.2. apakšpunktā minētā darbība, plānotais projekta īstenošanas termiņš nepārsniedz 24 mēnešus;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projektos, kur tiek veiktas šo noteikumu 36.1. apakšpunktā minētās darbības, plānotais projekta īstenošanas termiņš nepārsniedz 36 mēnešus.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šādiem gadījumiem: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17.08.2021. noteikumu Nr. 559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49. punktā minēto informāciju Veselības ministrija publicē ne vēlāk kā līdz šo noteikumu 58.2. apakšpunktā minētās otrās projektu iesniegumu atlases apakškārtas izsludināšanas dienai.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minētais atbalsts piešķirams ar dienu, kad sadarbības iestāde pieņēmusi lēmumu par projekta iesnieguma apstiprināšanu vai sniegusi atzinumu par lēmumā noteikto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13.08.2019.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punktā minētais atbalsts piešķirams ar dienu, kad pašvaldība pieņēmusi lēmumu par atbalsta piešķiršanu telpu vai telpu un aprīkojuma nomniekam.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13.08.2019. noteikumu Nr. 369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tiek konstatēts Komisijas regulā Nr. 1407/2013 minēto nosacījumu pārkāpums, finansējuma saņēmējam ir pienākums atmaksāt sadarbības iestādei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tiek konstatēts Komisijas 2011. gada 20. decembra Lēmuma Nr. 2012/21/ES par Līguma par Eiropas Savienības darbību 106. panta 2. punkta piemērošanu valsts atbalstam attiecībā uz kompensāciju par sabiedriskajiem pakalpojumiem dažiem uzņēmumiem, kuriem uzticēts sniegt pakalpojumus ar vispārēju tautsaimniecisku nozīmi, prasību pārkāpums šo noteikumu ietvaros īstenotā projektā, finansējuma saņēmējam ir pienākums atmaksāt sadarbības iestādei visu projekta ietvaros saņemto nelikumīgo valsts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 Atbalsta saņēmējs iesniedz visu informāciju par plānoto un piešķirto atbalstu par tām pašām attiecināmajām izmaksām, norādot atbalsta piešķiršanas datumu, atbalsta sniedzēju, atbalsta pasākumu un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 Šo noteikumu 39.</w:t>
      </w:r>
      <w:r w:rsidR="00000000" w:rsidRPr="00000000" w:rsidDel="00000000">
        <w:rPr>
          <w:vertAlign w:val="superscript"/>
          <w:rtl w:val="0"/>
        </w:rPr>
        <w:t xml:space="preserve">1</w:t>
      </w:r>
      <w:r w:rsidR="00000000" w:rsidRPr="00000000" w:rsidDel="00000000">
        <w:rPr>
          <w:rtl w:val="0"/>
        </w:rPr>
        <w:t xml:space="preserve"> punktā minēto izmaksu iekļaušanu atbalstāmajās darbībās projektu iesniegumu atlasē piemēro ar 2020. gada 1.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17.08.2021. noteikumu Nr. 559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22-TA-1627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22-TA-1627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noteikumu_konsolidētā_versija_22-TA-1627.docx</dc:title>
</cp:coreProperties>
</file>

<file path=docProps/custom.xml><?xml version="1.0" encoding="utf-8"?>
<Properties xmlns="http://schemas.openxmlformats.org/officeDocument/2006/custom-properties" xmlns:vt="http://schemas.openxmlformats.org/officeDocument/2006/docPropsVTypes"/>
</file>