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punktu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politikas mērķa "Sociālāka un iekļaujošāka Eiropa, īstenojot Eiropas sociālo tiesību pīlāru" prioritārā virziena "Nodarbinātība un sociālā iekļaušana" 4.3.4. specifiskā atbalsta mērķa "Sekmēt aktīvu iekļaušanu, lai veicinātu vienlīdzīgas iespējas, nediskriminēšanu un aktīvu līdzdalību, kā arī uzlabotu nodarbināmību,  jo īpaši attiecībā uz nelabvēlīgā situācijā esošām grupām" 4.3.4.6. pasākumu "Resocializācijas pakalpojumu probācijas klientiem pilnveidošana un taisnīguma atjaunošanas pieeju attīstība, veicinot probācijas klientu aktīvu līdzdalību sabiedrības procesos un radot priekšnosacījumus viņu veiksmīgai iekļaušanai un nodarbināmībai" (turpmāk – 4.3.4.6.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4.3.4.6. 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4.3.4.6. 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iesniedzējam (turpmāk – projekta iesniedzējs) un finansējuma saņēmējam (turpmāk –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4.3.4.6. pasākuma mērķis ir pilnveidot resocializācijas sistēmas efektivitāti, tādējādi attīstot taisnīguma atjaunošanas pieeju, veicināt probācijas klientu aktīvu līdzdalību sabiedrības procesos un radīt sekmīgas probācijas klientu iekļaušanās, vienlīdzīgu iespēju, aktīvas līdzdalības un nodarbināmības priekšnosacījumus.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4.3.4.6. pasākuma mērķa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ģimenes locekļi un atbalsta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probācijas dienestā nodarbinātie un brīvprātīgie;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valsts un pašvaldības institūciju, biedrību un nodibinājumu pārstāvji, kuru darbības joma ir saistīta ar kriminālsodu izpildi, kriminālsodu izpildes politikas plānošanu, iekļaušanās veicināšanu, palīdzības un atbalsta sniegšanu ieslodzītajiem, bijušajiem ieslodzītajiem un viņu ģimenes locekļiem un atbalsta personām, sociālo uzņēmējdarbību, palīdzību no apreibinošām vielām un procesiem atkarīgām personām, personām, kuras cietušas no noziedzīgiem nodarījumiem, sociāli lietderīgu brīvā laika pavadīšanu sociālās atstumtības riska mērķgrupām un brīvprātīgo darba veicināšanu.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4.3.4.6. 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skaits, kas saņēmušas atbalstu, – 1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skaits – 525 (iznākuma rādītājs);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skaits, kas saņēmušas atbalstu, – 1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skaits – 2655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klienti, kuriem veicināta nodarbināmība, – 2124 (rezultāta rādītājs).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4.3.4.6. 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4.3.4.6. pasākuma ietvaros atbildīgās iestādes funkcijas pilda Tieslietu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4.3.4.6. pasākuma ietvaros pieejamais kopējais attiecināmais finansējums ir 3 304 117 </w:t>
      </w:r>
      <w:r w:rsidR="00000000" w:rsidRPr="00000000" w:rsidDel="00000000">
        <w:rPr>
          <w:i w:val="1"/>
          <w:rtl w:val="0"/>
        </w:rPr>
        <w:t xml:space="preserve">euro</w:t>
      </w:r>
      <w:r w:rsidR="00000000" w:rsidRPr="00000000" w:rsidDel="00000000">
        <w:rPr>
          <w:rtl w:val="0"/>
        </w:rPr>
        <w:t xml:space="preserve">, tai skaitā ESF+ finansējums 2 808 499 </w:t>
      </w:r>
      <w:r w:rsidR="00000000" w:rsidRPr="00000000" w:rsidDel="00000000">
        <w:rPr>
          <w:i w:val="1"/>
          <w:rtl w:val="0"/>
        </w:rPr>
        <w:t xml:space="preserve">euro</w:t>
      </w:r>
      <w:r w:rsidR="00000000" w:rsidRPr="00000000" w:rsidDel="00000000">
        <w:rPr>
          <w:rtl w:val="0"/>
        </w:rPr>
        <w:t xml:space="preserve"> un valsts budžeta līdzfinansējums 495 618 </w:t>
      </w:r>
      <w:r w:rsidR="00000000" w:rsidRPr="00000000" w:rsidDel="00000000">
        <w:rPr>
          <w:i w:val="1"/>
          <w:rtl w:val="0"/>
        </w:rPr>
        <w:t xml:space="preserve">euro</w:t>
      </w:r>
      <w:r w:rsidR="00000000" w:rsidRPr="00000000" w:rsidDel="00000000">
        <w:rPr>
          <w:rtl w:val="0"/>
        </w:rPr>
        <w:t xml:space="preserve">. 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4.3.4.6. pasākuma ietvaros atbalsts tiek sniegts granta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4.3.4.6. pasākuma ietvaros ir Valsts probācijas dienests – tiešās pārvaldes iestāde, kas īsteno valsts politiku kriminālsoda – sabiedriskais darbs – un audzinoša rakstura piespiedu līdzekļa – sabiedriskais darbs – izpildē, kā arī probācijas klientu uzraudzībā un sociālās uzvedības korekcijā. Projekta iesniedzējs, kura projekta iesniegums ir apstiprināts un ar kuru ir noslēgta vienošanās par projekta īstenošanu,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Kohēzijas politikas fondu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nodrošina, ka vienas un tās pašas vai līdzīgas atbalstāmās darbības nav plānots finansēt no vairākiem finanšu avotiem, novēršot iespējamo investīciju pārklāšanos, un savstarpēji papildinošu investīciju gadījumā novēršot dubultā finansējuma risku.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4.3.4.6. 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probācijas dienestā nodarbināto kapacitātes celšana un profesionālās noturības stiprināšana;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pieredzes pētniecība;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un resocializācijas darba organizēšanas instrumentu un programmu pilnveidošana un jaunu instrumentu izstrāde, ieguve un ieviešana, ieskaitot instrumentu un programmu aprobēšanu un validizēšanu atbilstoši dažādu probācijas klientu mērķgrupu resocializācijas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probācijas klientu resocializācijas modeļa pilnveidošana, jaunu (interaktīvu) resocializācijas darba metožu attīstība, aprobācija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sociālās iekļaušanas koeficienta metodikas izstrāde un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dienesta brīvprātīgo darba programmu pilnveidošana un īstenošana pasākumu brīvprātīgo kopienas attīstībai un saliedēšanai;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pasākumi probācijas klientu resocializācijai, viņu ģimenes locekļiem un atbalsta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ikgadējās konferences Valsts probācijas dienestā nodarbinātajiem un sadarbības partneriem, starpinstitūciju sadarbības pilnveidošanas pasākumi un apmācības iesaistīto institūciju un brīvprātīgo pārstāvjiem, tai skaitā nevalstisko organizāciju pārstāvjiem;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visai sabiedrībai un tiesnešiem, prokuroriem, tiesībaizsardzības iestāžu, pašvaldību, citu institūciju un nevalstisko organizāciju darbiniekiem paredzēti informējoši un izglītojoši pasākumi un sociālās kampaņas;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sabiedrības iesaistes un atbalsta pasākumi notiesāto personu sociālās uzņēmējdarbības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informatīvie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tehnoloģiju attīstība, tai skaitā klientu lietu vadības kvalitātes sistēmas pilnveidošana;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4.3.4.6. 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13.1.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un vadības personāla atlīdzības izmaksas, kas ir attiecināmas atbilstoši atbildīgās iestādes apstiprinātajai vienkāršoto izmaksu metodikai;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(piemēram, pakalpojuma, uzņēmuma vai autoratlīdzības līgumu) un iepirkumu līgumu izmaksas šo noteikumu 12. punktā minēto atbalstāmo darbību īstenošanai, izņemot šo noteikumu </w:t>
      </w:r>
      <w:r w:rsidR="00000000" w:rsidRPr="00000000" w:rsidDel="00000000">
        <w:rPr>
          <w:rtl w:val="0"/>
        </w:rPr>
        <w:t xml:space="preserve">12.13.</w:t>
      </w:r>
      <w:r w:rsidR="00000000" w:rsidRPr="00000000" w:rsidDel="00000000">
        <w:rPr>
          <w:rtl w:val="0"/>
        </w:rPr>
        <w:t xml:space="preserve"> apakšpunktā minētās darbības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un ārvalstu komandējumu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mācību, darba braucienu izmaksas projekta vadības un īstenošanas personālam šo noteikumu 12. punktā minēto atbalstāmo darbību īstenošanai un Valsts probācijas dienestā nodarbinātajiem, kas nav projekta vadības un īstenošanas personāls,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un </w:t>
      </w:r>
      <w:r w:rsidR="00000000" w:rsidRPr="00000000" w:rsidDel="00000000">
        <w:rPr>
          <w:rtl w:val="0"/>
        </w:rPr>
        <w:t xml:space="preserve">12.9.</w:t>
      </w:r>
      <w:r w:rsidR="00000000" w:rsidRPr="00000000" w:rsidDel="00000000">
        <w:rPr>
          <w:rtl w:val="0"/>
        </w:rPr>
        <w:t xml:space="preserve"> apakšpunktā minēto atbalstāmo darbību īstenošanai atbilstoši spēkā esošajiem normatīvajiem aktiem par kārtību, kādā atlīdzināmi ar komandējumiem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īstenošanas personālam un projekta vadītājam, tostarp nevalstisko organizāciju pārstāvjiem, brīvprātīgajiem un citām atbalstāmajās darbībās noteiktajām personām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12.9.</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(tajā skaitā psihiskās veselības speciālista, narkologa, psihoterapeita vai jurista pakalpojumi), mācību, semināru, konferenču organizēšanas un ar to saistīto materiālu nodrošināšanas izmaksas, tajā skaitā zīmju valodas tulka, reāllaika transkripcijas un subtitrēšanas izmaksas, ja tas nepieciešams  šo noteikumu 12. punktā minēto atbalstāmo darbību īstenošanai, izņemot šo noteikumu 12.11., 12.12. un 12.13. apakšpunktā minēto darbību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ir attiecināmas projekta vadības un projekta īstenošanas personālam jaunu darba vietu radīšanai vai esošu darba vietu aprīkojuma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darba vietas aprīkojuma iegādes izmaksas ir attiecināmas proporcionāli atlīdzības procentuālajam sadalījumam; ja projekta vadības un projekta īstenošanas personāls ir nodarbināts daļlaiku, darba vietas aprīkojuma iegādes izmaksas ir attiecināmas proporcionāli atlīdzības procentuālajam sadalījumam un ņemot vērā darbinieka iesaistes periodu projektā pret projekta kopējo īstenošanas ilgumu šo noteikumu </w:t>
      </w:r>
      <w:r w:rsidR="00000000" w:rsidRPr="00000000" w:rsidDel="00000000">
        <w:rPr>
          <w:rtl w:val="0"/>
        </w:rPr>
        <w:t xml:space="preserve">12.13.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izmaksas šo noteikumu 12.1., 12.2., 12.3., 12.4, 12.5., 12.6., 12.7., 12.8., 12.9., 12.10., 12.12. un 12.13. apakšpunktā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telpu, materiāltehnisko līdzekļu un aprīkojuma īres vai nomas izmaksas šo noteikumu 12.1., 12.6., 12.7., 12.9. un 12.10.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grāmatu, izglītojošu materiālu, iekārtu un inventāra, tai skaitā palīgmateriālu, izmaksas 50</w:t>
      </w:r>
      <w:r w:rsidR="00000000" w:rsidRPr="00000000" w:rsidDel="00000000">
        <w:rPr>
          <w:i w:val="1"/>
          <w:rtl w:val="0"/>
        </w:rPr>
        <w:t xml:space="preserve">–</w:t>
      </w:r>
      <w:r w:rsidR="00000000" w:rsidRPr="00000000" w:rsidDel="00000000">
        <w:rPr>
          <w:rtl w:val="0"/>
        </w:rPr>
        <w:t xml:space="preserve">500 </w:t>
      </w:r>
      <w:r w:rsidR="00000000" w:rsidRPr="00000000" w:rsidDel="00000000">
        <w:rPr>
          <w:i w:val="1"/>
          <w:rtl w:val="0"/>
        </w:rPr>
        <w:t xml:space="preserve">euro</w:t>
      </w:r>
      <w:r w:rsidR="00000000" w:rsidRPr="00000000" w:rsidDel="00000000">
        <w:rPr>
          <w:rtl w:val="0"/>
        </w:rPr>
        <w:t xml:space="preserve"> par vienību šo noteikumu 12.1., 12.3., 12.4. un 12.6.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informatīvo un publicitātes pasākumu izmaksas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47. un 50. pantam un kārtībai, kādā Eiropas Savienības fondu vadībā iesaistītās institūcijas nodrošina šo fondu ieviešanu 2021.–2027. gada plānošanas periodā, kā arī Eiropas Savienības fondu 2021.–2027. gada plānošanas perioda un Atveseļošanas fonda komunikācijas un dizaina vadlīnijām šo noteikumu 12.11.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veselības un dzīvības apdrošināšanas izmaksas pret nelaimes gadījumiem brīvprātīgā darba veikšanas laikā un brīvprātīgā darba izdevumu kompensācijas šo noteikumu 12.6. apakšpunktā minēto atbalstāmo darbību īstenošanā iesaistītajiem brīvprātīgā darba veicējiem;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materiāltehniskā nodrošinājuma – pamatlīdzekļu – iegādes izmaksas šo noteikumu 12. punktā minēto atbalstāmo darbību īstenošanai, izņemot šo noteikumu 12.13. apakšpunktā minētās darbības īstenošanu, ja iegāde ir izdevīgāka nekā materiāltehniskā nodrošinājuma īres vai nomas izmaksas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10.12.2024. noteikumiem Nr. 792)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4.3.4.6. pasākuma atbalstāmo darbību ietvaros ir attiecināms pievienotās vērtības nodoklis attiecināmajām izmaksām atbilstoši regulas Nr.  </w:t>
      </w:r>
      <w:r w:rsidR="00000000" w:rsidRPr="00000000" w:rsidDel="00000000">
        <w:rPr>
          <w:rtl w:val="0"/>
        </w:rPr>
        <w:t xml:space="preserve">2021/1060</w:t>
      </w:r>
      <w:r w:rsidR="00000000" w:rsidRPr="00000000" w:rsidDel="00000000">
        <w:rPr>
          <w:rtl w:val="0"/>
        </w:rPr>
        <w:t xml:space="preserve"> 64. panta 1. punkta "c" apakšpunkta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4.3.4.6. pasākuma īstenošanā tiek piemērota netiešo izmaksu vienotā likme kā viena izmaksu pozīcija 15 procentu apmērā no šo noteikumu 14.1. apakšpunktā minētajām plānotajām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saņēmējam ir īpašumtiesības uz šo noteikumu </w:t>
      </w:r>
      <w:r w:rsidR="00000000" w:rsidRPr="00000000" w:rsidDel="00000000">
        <w:rPr>
          <w:rtl w:val="0"/>
        </w:rPr>
        <w:t xml:space="preserve">12.12.</w:t>
      </w:r>
      <w:r w:rsidR="00000000" w:rsidRPr="00000000" w:rsidDel="00000000">
        <w:rPr>
          <w:rtl w:val="0"/>
        </w:rPr>
        <w:t xml:space="preserve"> apakšpunktā minēto konkrēto objektu vai īpašumu.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4.3.4.6. pasākuma ietvaros izmaksas ir attiecināmas, ja tās atbilst šajos noteikumos minētajām izmaksu pozīcijām un ir radušās pēc vienošanās noslēgšanas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projekta īstenošanas laikā vadošā iestāde izstrādā horizontālo vienas vienības standarta likmes metodiku vai atbildīgā iestāde izstrādā metodiku kādām šo noteikumu 14.2. apakšpunktā minētajām izmaksām, tām piemēro vadošās vai atbildīgās iestādes izstrādāto metodiku.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iesnieguma vērtēšanā piedalās divi atbildīgās iestādes pārstāvji, viens Labklājības ministrijas pārstāvis, viens Tieslietu ministrijas pārstāvis un sadarbības iestādes pārstāvji, bet vadošās iestādes pārstāvis, ja nepieciešams,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nodrošinātu rezultatīvo un iznākuma rādītāju, kopējo tūlītējo rezultātu rādītāju uzskaiti un ziņošanu Eiropas Komisijai, īstenojot projektu, finansējuma saņēmējs uzkrāj, uzskaita un reizi gadā iesniedz sadarbības iestādē apkopotus datus par šo noteikumu </w:t>
      </w:r>
      <w:r w:rsidR="00000000" w:rsidRPr="00000000" w:rsidDel="00000000">
        <w:rPr>
          <w:rtl w:val="0"/>
        </w:rPr>
        <w:t xml:space="preserve">3.1.</w:t>
      </w:r>
      <w:r w:rsidR="00000000" w:rsidRPr="00000000" w:rsidDel="00000000">
        <w:rPr>
          <w:rtl w:val="0"/>
        </w:rPr>
        <w:t xml:space="preserve"> apakšpunktā minētajām personām atbilstoši Eiropas Parlamenta un Padomes 2021. gada 24. jūnija Regulas (ES)  </w:t>
      </w:r>
      <w:r w:rsidR="00000000" w:rsidRPr="00000000" w:rsidDel="00000000">
        <w:rPr>
          <w:rtl w:val="0"/>
        </w:rPr>
        <w:t xml:space="preserve">2021/1057</w:t>
      </w:r>
      <w:r w:rsidR="00000000" w:rsidRPr="00000000" w:rsidDel="00000000">
        <w:rPr>
          <w:rtl w:val="0"/>
        </w:rPr>
        <w:t xml:space="preserve">, ar ko izveido Eiropas Sociālo fondu Plus (ESF+) un atceļ Regulu (ES) Nr.  </w:t>
      </w:r>
      <w:r w:rsidR="00000000" w:rsidRPr="00000000" w:rsidDel="00000000">
        <w:rPr>
          <w:rtl w:val="0"/>
        </w:rPr>
        <w:t xml:space="preserve">1296/2013</w:t>
      </w:r>
      <w:r w:rsidR="00000000" w:rsidRPr="00000000" w:rsidDel="00000000">
        <w:rPr>
          <w:rtl w:val="0"/>
        </w:rPr>
        <w:t xml:space="preserve">, 1. pielikumam un saskaņā ar Ministru kabineta 2023. gada 21. marta noteikumu Nr. 135 "Eiropas Savienības fondu projektu pārbaužu veikšanas kārtība 2021.–2027. gada plānošanas periodā" 1. pielikumu.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4.2.2. apakšpunktā norādītajā iznākuma rādītājā iekļauj šo noteikumu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apakšpunktā minētajās projekta darbībās iesaistītos dalībniekus (probācijas klientus). Dati tiek uzglabāti atbilstoši termiņam,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saskaņā ar regulas  </w:t>
      </w:r>
      <w:r w:rsidR="00000000" w:rsidRPr="00000000" w:rsidDel="00000000">
        <w:rPr>
          <w:rtl w:val="0"/>
        </w:rPr>
        <w:t xml:space="preserve">2021/1060</w:t>
      </w:r>
      <w:r w:rsidR="00000000" w:rsidRPr="00000000" w:rsidDel="00000000">
        <w:rPr>
          <w:rtl w:val="0"/>
        </w:rPr>
        <w:t xml:space="preserve"> 47. un 50. pantu un kārtību, kādā Eiropas Savienības fondu vadībā iesaistītās institūcijas nodrošina šo fondu ieviešanu 2021.–2027. gada plānošanas periodā, kā arī saskaņā ar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 ESF+ projekta īstenošanai nepieciešamos finanšu līdzekļus, finansē projekta īstenošanu un veic maksājumus valsts budžeta iestādei saskaņā ar normatīvajiem aktiem par valsts budžeta līdzekļu plānošanas kārtību Eiropas Savienības fondu projektu īstenošanai un maksājumu veikšanai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vispārīgās un specifiskās darbības, kas veicina vienlīdzīgu iespēju principu ievērošanu, iekļaušanu, diskriminācijas novēršanu un pamattiesību ievērošanu, īpaši saistībā ar resocializācijas darba un resocializācijas (sociālo) pakalpojumu sniegšanas jomā strādājošo izpratnes un informētības paaugstināšanas pasākumu īstenošanu, lai novērstu diskrimināciju invaliditātes, vecuma, dzimuma, etniskās piederības un citu pazīmju dēļ, tostarp uzkrāj datus par horizontālā principa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izglītības programmu, metodisko līdzekļu, vadlīniju, mācību līdzekļu, tai skaitā digitālo, skaits, kuros integrēti pamattiesību jautājumi par dzimumu līdztiesību, vienlīdzīgu iespēju nodrošināšanu un diskriminācijas novēršanu invaliditātes, vecuma, etniskās piederības un citu pazīmju dēļ, tostarp tiesiskie un praktiskie jautājumi;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kas piedalījušās apmācību programmās, kurās integrēti pamattiesību jautājumi par dzimumu līdztiesību, vienlīdzīgu iespēju nodrošināšanu un diskriminācijas novēršanu invaliditātes, vecuma, etniskās piederības un citu pazīmju dēļ, tostarp tiesiskie un praktiskie jautājumi;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elektroniski informē atbildīgo iestādi par visām ar projektu saistītajām izmaiņām un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ievieto aktuālu informāciju par projekta īstenošanu savā tīmekļvietnē ne retāk kā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projekta īstenošanas beigām nodrošina, ka šo noteikumu 14.2.10. apakšpunktā minētie materiāltehniskie līdzekļi, kas iegādāti projekta ietvaros, ir finansējuma saņēmēja īpašumā, ievērojot pamatlīdzekļu nolietojuma normas un lietošanas nosacījumus atbilstoši normatīvajiem aktiem, kas nosaka kārtību, kādā budžeta iestādes kārto grāmatvedības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nepieciešamos ārpakalpojumus pērk, ievērojot normatīvos aktus publisko iepirkumu jomā, īstenojot atklātu, pārredzamu, nediskriminējošu un konkurenci nodrošinošu procedūru un, kur tas ir attiecināms, īsteno sociāli atbildīgus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projekta īstenošanas laikā tiek ievērots princips "nenodarīt būtisku kaitējumu", paredzot atbilstošas prasības līgumos ar piegādātājiem un pakalpojumu sniedzējiem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lai šo noteikumu 12.8., 12.9., 12.10. un 12.11. apakšpunktā minētā 4.3.4.6. pasākuma atbalstāmās darbības nebūtu kvalificējamas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izstrādā kārtību, kādā tas pārliecinās par interešu konflikta, krāpšanas un korupcijas risku neesību, kā arī ar parakstu apliecina, ka interešu konflikts nepastāv.</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uzraudzītu projekta īstenošanu, finansējuma saņēmējs viena mēneša laikā pēc vienošanās par projekta īstenošanu noslēgšanas izveido projekta uzraudzības komiteju. Projekta uzraudzības komitejā piedalās divi finansējuma saņēmēja pārstāvji, divi atbildīgās iestādes pārstāvji. Sadarbības iestāde un Tieslietu ministrija kā nozares ministrija var deleģēt pārstāvjus projekta uzraudzības komitejā novērotāju statusā. Pēc projekta uzraudzības komitejas priekšsēdētāja uzaicinājuma sēdē var piedalīties arī citu valsts institūciju amatpersonas un darbinieki, nevalstisko organizāciju pārstāvji, eksperti un citi speciālisti bez balsstiesībām.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izstrādā, saskaņo ar atbildīgo iestādi un apstiprina projekta uzraudzības komitejas nolikumu, kurā detalizēti norāda uzraudzības komitejas personālsastāvu, funkcijas, tiesības un pienākumus.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uzraudzības komitejas sēdes rīko ne retāk kā reizi trīs mēnešos. Atbildīgā iestāde, ja nepieciešams, var pieprasīt finansējuma saņēmējam sasaukt projekta uzraudzības komitejas ārkārtas sēdi, kā arī ierosināt jautājumu izskatīšanu projekta uzraudzības komitejas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4.3.4.6. 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10.12.2024. noteikumu Nr. 792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14.2.2.1.</w:t>
      </w:r>
      <w:r w:rsidR="00000000" w:rsidRPr="00000000" w:rsidDel="00000000">
        <w:rPr>
          <w:rtl w:val="0"/>
        </w:rPr>
        <w:t xml:space="preserve"> apakšpunktā noteiktās iekšzemes komandējumu, mācību un darba braucienu izmaksas Valsts probācijas dienestā nodarbinātajiem, kas nav projekta vadības un īstenošanas personāls,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un </w:t>
      </w:r>
      <w:r w:rsidR="00000000" w:rsidRPr="00000000" w:rsidDel="00000000">
        <w:rPr>
          <w:rtl w:val="0"/>
        </w:rPr>
        <w:t xml:space="preserve">12.9.</w:t>
      </w:r>
      <w:r w:rsidR="00000000" w:rsidRPr="00000000" w:rsidDel="00000000">
        <w:rPr>
          <w:rtl w:val="0"/>
        </w:rPr>
        <w:t xml:space="preserve"> apakšpunktā minēto atbalstāmo darbību īstenošanai tiek attiecinātas ar 2024. gada 16. decembri.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10.12.2024. noteikumu Nr. 792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26-TA-484</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26-TA-484</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noteikumu_konsolidētā_versija_26-TA-484.docx</dc:title>
</cp:coreProperties>
</file>

<file path=docProps/custom.xml><?xml version="1.0" encoding="utf-8"?>
<Properties xmlns="http://schemas.openxmlformats.org/officeDocument/2006/custom-properties" xmlns:vt="http://schemas.openxmlformats.org/officeDocument/2006/docPropsVTypes"/>
</file>