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Tiešās pārvaldes iestāžu rīkotajos iepirkumos izvirzāmās preču un pakalpojumu energoefektivitātes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br/>
      </w:r>
      <w:r w:rsidR="00000000" w:rsidRPr="00000000" w:rsidDel="00000000">
        <w:rPr>
          <w:rStyle w:val="paragraph"/>
          <w:i w:val="1"/>
          <w:rtl w:val="0"/>
        </w:rPr>
        <w:t xml:space="preserve">55.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tiešās pārvaldes iestāžu rīkotajos iepirkumos izvirzāmās prasības attiecībā uz preču un pakalpojumu energoefektivitāti.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Rīkojot </w:t>
      </w:r>
      <w:r w:rsidR="00000000" w:rsidRPr="00000000" w:rsidDel="00000000">
        <w:rPr>
          <w:rtl w:val="0"/>
        </w:rPr>
        <w:t xml:space="preserve">Publisko iepirkumu likuma</w:t>
      </w:r>
      <w:r w:rsidR="00000000" w:rsidRPr="00000000" w:rsidDel="00000000">
        <w:rPr>
          <w:rtl w:val="0"/>
        </w:rPr>
        <w:t xml:space="preserve"> 55. pantā minētos preču iepirkumus, attiecībā uz preču energoefektivitāti izvirza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atbilstība kādai no divām augstākajām tirgū pieejamām attiecīgās preces energoefektivitātes klasēm, ja uz preci attiecas normatīvie akti par tādu preču vai preču kopumu marķēšanu, kas saistītas ar enerģijas un citu resursu patēriņu;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atbilstība ekodizaina īstenošanas pasākumu prasībām, ja uz preci attiecas ekodizaina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iegādājas riepas, uz kurām attiecas Eiropas Parlamenta un Padomes 2020. gada 25. maija Regula (EK) Nr. </w:t>
      </w:r>
      <w:r w:rsidR="00000000" w:rsidRPr="00000000" w:rsidDel="00000000">
        <w:rPr>
          <w:rtl w:val="0"/>
        </w:rPr>
        <w:t xml:space="preserve">2020/740</w:t>
      </w:r>
      <w:r w:rsidR="00000000" w:rsidRPr="00000000" w:rsidDel="00000000">
        <w:rPr>
          <w:rtl w:val="0"/>
        </w:rPr>
        <w:t xml:space="preserve"> par riepu marķēšanu attiecībā uz degvielas patēriņa efektivitāti un citiem būtiskiem parametriem, ar ko groza Regulu (ES) 2017/1369 un atceļ Regulu (EK) Nr. 1222/2009, tad, primāri nodrošinot pasūtītājam nepieciešamās riepu lietošanas drošības, saķeres un drošas braukšanas prasības, attiecībā uz riepām izvirza vienu no šādām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atbilstība visaugstākajai degvielas energoefektivitātes klasei;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atbilstība visaugstākajai klasei attiecībā uz ārējo rites trokšņu līmeni vai saķeri ar slapju ceļu, ja to pamato ar drošības vai sabiedrības veselības apsvērumiem.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Rīkojot Publisko iepirkumu likuma 55. pantā minētos pakalpojumu iepirkumus, attiecībā uz pakalpojumu izvirza prasību, lai pakalpojuma sniedzējs, nodrošinot attiecīgo pakalpojumu, iepērk vienīgi tādas preces, kas atbilst šo noteikumu </w:t>
      </w:r>
      <w:r w:rsidR="00000000" w:rsidRPr="00000000" w:rsidDel="00000000">
        <w:rPr>
          <w:rtl w:val="0"/>
        </w:rPr>
        <w:t xml:space="preserve">2.</w:t>
      </w:r>
      <w:r w:rsidR="00000000" w:rsidRPr="00000000" w:rsidDel="00000000">
        <w:rPr>
          <w:rtl w:val="0"/>
        </w:rPr>
        <w:t xml:space="preserve"> punktā minētajām prasībām. Šīs prasības attiecina uz precēm, kuras kā resursi iekļautas publiskā pakalpojuma līgumā un kuras pakalpojumu sniedzējs pilnībā vai daļēji iegādājas, lai sniegtu attiecīgo pakalpojumu, par kuru tiek slēgts publisks pakalpojuma līgums.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22-TA-3096</w:t>
    </w:r>
    <w:r>
      <w:br/>
    </w:r>
    <w:r w:rsidR="00000000" w:rsidRPr="00000000" w:rsidDel="00000000">
      <w:rPr>
        <w:rtl w:val="0"/>
      </w:rPr>
      <w:t xml:space="preserve">Izdrukāts 29.07.2026. 21.27 - 2.0.VK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22-TA-3096</w:t>
    </w:r>
    <w:r>
      <w:br/>
    </w:r>
    <w:r w:rsidR="00000000" w:rsidRPr="00000000" w:rsidDel="00000000">
      <w:rPr>
        <w:rtl w:val="0"/>
      </w:rPr>
      <w:t xml:space="preserve">Izdrukāts 29.07.2026. 21.27 - 2.0.VK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noteikumu_konsolidētā_versija_22-TA-3096.docx</dc:title>
</cp:coreProperties>
</file>

<file path=docProps/custom.xml><?xml version="1.0" encoding="utf-8"?>
<Properties xmlns="http://schemas.openxmlformats.org/officeDocument/2006/custom-properties" xmlns:vt="http://schemas.openxmlformats.org/officeDocument/2006/docPropsVTypes"/>
</file>