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09DCB" w14:textId="46A69B31" w:rsidR="006E0607" w:rsidRPr="006E0607" w:rsidRDefault="00960AE9" w:rsidP="006E0607">
      <w:pPr>
        <w:jc w:val="right"/>
      </w:pPr>
      <w:r>
        <w:t>P</w:t>
      </w:r>
      <w:r w:rsidR="006E0607" w:rsidRPr="006E0607">
        <w:t>ielikums</w:t>
      </w:r>
    </w:p>
    <w:p w14:paraId="67B247EA" w14:textId="77777777" w:rsidR="006E0607" w:rsidRPr="006E0607" w:rsidRDefault="006E0607" w:rsidP="006E0607">
      <w:pPr>
        <w:jc w:val="right"/>
      </w:pPr>
      <w:r w:rsidRPr="006E0607">
        <w:t>Ministru kabineta</w:t>
      </w:r>
    </w:p>
    <w:p w14:paraId="3D7DCDAD" w14:textId="7619F737" w:rsidR="006E0607" w:rsidRPr="006E0607" w:rsidRDefault="006E0607" w:rsidP="006E0607">
      <w:pPr>
        <w:jc w:val="right"/>
      </w:pPr>
      <w:r w:rsidRPr="006E0607">
        <w:t>202</w:t>
      </w:r>
      <w:r>
        <w:t>6</w:t>
      </w:r>
      <w:r w:rsidRPr="006E0607">
        <w:t>. gada  -. -</w:t>
      </w:r>
    </w:p>
    <w:p w14:paraId="1E482E61" w14:textId="77777777" w:rsidR="006E0607" w:rsidRPr="006E0607" w:rsidRDefault="006E0607" w:rsidP="006E0607">
      <w:pPr>
        <w:jc w:val="right"/>
      </w:pPr>
      <w:r w:rsidRPr="006E0607">
        <w:t>noteikumiem Nr. -</w:t>
      </w:r>
    </w:p>
    <w:p w14:paraId="05895236" w14:textId="0665A442" w:rsidR="0057214B" w:rsidRPr="005C7C0D" w:rsidRDefault="002B09F5" w:rsidP="002F7508">
      <w:pPr>
        <w:jc w:val="center"/>
        <w:rPr>
          <w:b/>
          <w:bCs/>
        </w:rPr>
      </w:pPr>
      <w:r>
        <w:rPr>
          <w:b/>
          <w:bCs/>
        </w:rPr>
        <w:t>F</w:t>
      </w:r>
      <w:r w:rsidR="005C7C0D" w:rsidRPr="005C7C0D">
        <w:rPr>
          <w:b/>
          <w:bCs/>
        </w:rPr>
        <w:t>inanšu līdzekļu, kas gūti no darījumiem ar bezmaksas emisijas kvotām</w:t>
      </w:r>
      <w:r w:rsidR="00D13A66">
        <w:rPr>
          <w:b/>
          <w:bCs/>
        </w:rPr>
        <w:t xml:space="preserve">, </w:t>
      </w:r>
      <w:r w:rsidR="00D13A66" w:rsidRPr="005C7C0D">
        <w:rPr>
          <w:b/>
          <w:bCs/>
        </w:rPr>
        <w:t>aprēķināšanas kārtība</w:t>
      </w:r>
    </w:p>
    <w:p w14:paraId="6E5DFF6F" w14:textId="77777777" w:rsidR="0057214B" w:rsidRDefault="0057214B" w:rsidP="002F7508">
      <w:pPr>
        <w:jc w:val="center"/>
      </w:pPr>
    </w:p>
    <w:p w14:paraId="1120EDEA" w14:textId="0023897C" w:rsidR="003F56EF" w:rsidRPr="003F56EF" w:rsidRDefault="003F56EF" w:rsidP="002F7508">
      <w:pPr>
        <w:jc w:val="center"/>
      </w:pPr>
      <w:r w:rsidRPr="003F56EF">
        <w:t>I. Vispārīgie jautājumi</w:t>
      </w:r>
    </w:p>
    <w:p w14:paraId="3753F29D" w14:textId="650ED338" w:rsidR="003F56EF" w:rsidRPr="003F56EF" w:rsidRDefault="003F56EF" w:rsidP="00DF4AD4">
      <w:pPr>
        <w:jc w:val="both"/>
      </w:pPr>
      <w:r w:rsidRPr="003F56EF">
        <w:t xml:space="preserve">1. </w:t>
      </w:r>
      <w:r w:rsidR="00916A35">
        <w:t>P</w:t>
      </w:r>
      <w:r w:rsidRPr="003F56EF">
        <w:t>ielikums nosaka kārtību, kādā aprēķina finanšu līdzekļus, kas gūti no darījumiem ar operatoram piešķirtajām bezmaksas emisijas kvotām un kas nav izmantoti likuma “Par piesārņojumu”</w:t>
      </w:r>
      <w:r w:rsidR="00CB6F18">
        <w:t xml:space="preserve"> (turpmāk- likums)</w:t>
      </w:r>
      <w:r w:rsidRPr="003F56EF">
        <w:t xml:space="preserve"> 32.</w:t>
      </w:r>
      <w:r w:rsidRPr="003F56EF">
        <w:rPr>
          <w:vertAlign w:val="superscript"/>
        </w:rPr>
        <w:t>28</w:t>
      </w:r>
      <w:r w:rsidRPr="003F56EF">
        <w:t xml:space="preserve"> panta otrajā daļā minēto siltumnīcefekta gāzu emisiju samazināšanas pasākumu īstenošanai.</w:t>
      </w:r>
    </w:p>
    <w:p w14:paraId="2A8F4B40" w14:textId="04C9EE54" w:rsidR="003F56EF" w:rsidRPr="003F56EF" w:rsidRDefault="003F56EF" w:rsidP="00DF4AD4">
      <w:pPr>
        <w:jc w:val="both"/>
      </w:pPr>
      <w:r w:rsidRPr="003F56EF">
        <w:t>2. Aprēķinu veic gadījumos, kad atbilstoši likuma 32.</w:t>
      </w:r>
      <w:r w:rsidRPr="003F56EF">
        <w:rPr>
          <w:vertAlign w:val="superscript"/>
        </w:rPr>
        <w:t>28</w:t>
      </w:r>
      <w:r w:rsidRPr="003F56EF">
        <w:t xml:space="preserve"> panta sestajai daļai pieņemts lēmums par finanšu līdzekļu atmaksu.</w:t>
      </w:r>
    </w:p>
    <w:p w14:paraId="5646A466" w14:textId="77777777" w:rsidR="003F56EF" w:rsidRDefault="003F56EF" w:rsidP="00DF4AD4">
      <w:r w:rsidRPr="003F56EF">
        <w:t>3. Aprēķins sastāv no:</w:t>
      </w:r>
      <w:r w:rsidRPr="003F56EF">
        <w:br/>
        <w:t>3.1. atmaksājamās pamatsummas noteikšanas;</w:t>
      </w:r>
      <w:r w:rsidRPr="003F56EF">
        <w:br/>
        <w:t>3.2. korekcijas summas aprēķināšanas;</w:t>
      </w:r>
      <w:r w:rsidRPr="003F56EF">
        <w:br/>
        <w:t>3.3. kopējā atmaksājamā finanšu līdzekļu apmēra noteikšanas.</w:t>
      </w:r>
    </w:p>
    <w:p w14:paraId="4D37C758" w14:textId="0C52F4C7" w:rsidR="00911C98" w:rsidRPr="003F56EF" w:rsidRDefault="0057214B" w:rsidP="00DF4AD4">
      <w:pPr>
        <w:jc w:val="both"/>
      </w:pPr>
      <w:r>
        <w:t xml:space="preserve">4. </w:t>
      </w:r>
      <w:r w:rsidRPr="0057214B">
        <w:t>Aprēķinu veic, pamatojoties uz pārbaudes laikā iegūto un izvērtēto informāciju par darījumiem ar bezmaksas emisijas kvotām, ieguldījumiem un finanšu līdzekļu izlietojumu.</w:t>
      </w:r>
    </w:p>
    <w:p w14:paraId="6F1DC833" w14:textId="77777777" w:rsidR="003F56EF" w:rsidRPr="003F56EF" w:rsidRDefault="003F56EF" w:rsidP="002F7508">
      <w:pPr>
        <w:jc w:val="center"/>
      </w:pPr>
      <w:r w:rsidRPr="003F56EF">
        <w:t>II. Atmaksājamās pamatsummas noteikšana</w:t>
      </w:r>
    </w:p>
    <w:p w14:paraId="649642FD" w14:textId="42078C13" w:rsidR="003F56EF" w:rsidRPr="003F56EF" w:rsidRDefault="0057214B" w:rsidP="003F56EF">
      <w:r>
        <w:t>5</w:t>
      </w:r>
      <w:r w:rsidR="003F56EF" w:rsidRPr="003F56EF">
        <w:t>. Atmaksājamā pamatsumma ir finanšu līdzekļu daļa, kas:</w:t>
      </w:r>
    </w:p>
    <w:p w14:paraId="7394C47D" w14:textId="77777777" w:rsidR="003F56EF" w:rsidRPr="003F56EF" w:rsidRDefault="003F56EF" w:rsidP="003F56EF">
      <w:r w:rsidRPr="003F56EF">
        <w:t>- gūta no darījumiem ar bezmaksas emisijas kvotām;</w:t>
      </w:r>
    </w:p>
    <w:p w14:paraId="2D42F4C9" w14:textId="219A4AE4" w:rsidR="003F56EF" w:rsidRPr="003F56EF" w:rsidRDefault="003F56EF" w:rsidP="003F56EF">
      <w:r w:rsidRPr="003F56EF">
        <w:t>- nav izmantota siltumnīcefekta gāzu emisiju samazināšanas pasākumu īstenošanai atbilstoši</w:t>
      </w:r>
      <w:r w:rsidR="00CB6F18">
        <w:t xml:space="preserve"> likuma</w:t>
      </w:r>
      <w:r w:rsidRPr="003F56EF">
        <w:t> 32.</w:t>
      </w:r>
      <w:r w:rsidRPr="003F56EF">
        <w:rPr>
          <w:vertAlign w:val="superscript"/>
        </w:rPr>
        <w:t>28 </w:t>
      </w:r>
      <w:r w:rsidRPr="003F56EF">
        <w:t xml:space="preserve">panta </w:t>
      </w:r>
      <w:r w:rsidR="00CB6F18">
        <w:t xml:space="preserve"> otrajai</w:t>
      </w:r>
      <w:r w:rsidRPr="003F56EF">
        <w:t xml:space="preserve"> daļai;</w:t>
      </w:r>
    </w:p>
    <w:p w14:paraId="7CB582C8" w14:textId="77777777" w:rsidR="003F56EF" w:rsidRPr="003F56EF" w:rsidRDefault="003F56EF" w:rsidP="003F56EF">
      <w:r w:rsidRPr="003F56EF">
        <w:t>- nav palikusi operatora rīcībā pārbaudes veikšanas brīdī.</w:t>
      </w:r>
    </w:p>
    <w:p w14:paraId="5A672299" w14:textId="1E9CF165" w:rsidR="003F56EF" w:rsidRPr="003F56EF" w:rsidRDefault="0057214B" w:rsidP="00F26D32">
      <w:pPr>
        <w:jc w:val="both"/>
      </w:pPr>
      <w:r>
        <w:t>6</w:t>
      </w:r>
      <w:r w:rsidR="003F56EF" w:rsidRPr="003F56EF">
        <w:t xml:space="preserve">. Atmaksājamo pamatsummu aprēķina kā starpību starp kopējo finanšu līdzekļu apmēru, kas gūts no darījumiem ar bezmaksas emisijas kvotām un kopējo finanšu līdzekļu apmēru, kas ieguldīts siltumnīcefekta gāzu emisiju samazināšanas pasākumos un neieguldīto </w:t>
      </w:r>
      <w:r w:rsidR="009C35BB" w:rsidRPr="003F56EF">
        <w:t>finanšu</w:t>
      </w:r>
      <w:r w:rsidR="003F56EF" w:rsidRPr="003F56EF">
        <w:t xml:space="preserve"> līdzekļu apmēru</w:t>
      </w:r>
      <w:r w:rsidR="003F6FC7">
        <w:t xml:space="preserve">, ko </w:t>
      </w:r>
      <w:r w:rsidR="003F6FC7" w:rsidRPr="003F6FC7">
        <w:t>aprēķina, izmantojot šādu formulu:</w:t>
      </w:r>
      <w:r w:rsidR="003F56EF" w:rsidRPr="003F56EF">
        <w:t>.</w:t>
      </w:r>
    </w:p>
    <w:p w14:paraId="3CF3DCC2" w14:textId="785D8017" w:rsidR="002F7508" w:rsidRPr="003F56EF" w:rsidRDefault="00000000" w:rsidP="002F7508">
      <w:pPr>
        <w:rPr>
          <w:rFonts w:ascii="Cambria Math" w:hAnsi="Cambria Math"/>
          <w:sz w:val="24"/>
          <w:szCs w:val="24"/>
        </w:rPr>
      </w:pPr>
      <m:oMathPara>
        <m:oMath>
          <m:sSub>
            <m:sSubPr>
              <m:ctrlPr>
                <w:rPr>
                  <w:rFonts w:ascii="Cambria Math" w:hAnsi="Cambria Math"/>
                  <w:i/>
                </w:rPr>
              </m:ctrlPr>
            </m:sSubPr>
            <m:e>
              <m:r>
                <w:rPr>
                  <w:rFonts w:ascii="Cambria Math" w:hAnsi="Cambria Math"/>
                </w:rPr>
                <m:t>Pamatsumma</m:t>
              </m:r>
            </m:e>
            <m:sub>
              <m:r>
                <w:rPr>
                  <w:rFonts w:ascii="Cambria Math" w:hAnsi="Cambria Math"/>
                </w:rPr>
                <m:t>Kopā</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Pamatsumma</m:t>
                  </m:r>
                </m:e>
                <m:sub>
                  <m:r>
                    <w:rPr>
                      <w:rFonts w:ascii="Cambria Math" w:hAnsi="Cambria Math"/>
                    </w:rPr>
                    <m:t>i</m:t>
                  </m:r>
                </m:sub>
              </m:sSub>
              <m:r>
                <w:rPr>
                  <w:rFonts w:ascii="Cambria Math" w:hAnsi="Cambria Math"/>
                </w:rPr>
                <m:t>=</m:t>
              </m:r>
            </m:e>
          </m:nary>
          <m:sSub>
            <m:sSubPr>
              <m:ctrlPr>
                <w:rPr>
                  <w:rFonts w:ascii="Cambria Math" w:hAnsi="Cambria Math"/>
                  <w:i/>
                </w:rPr>
              </m:ctrlPr>
            </m:sSubPr>
            <m:e>
              <m:r>
                <w:rPr>
                  <w:rFonts w:ascii="Cambria Math" w:hAnsi="Cambria Math"/>
                </w:rPr>
                <m:t>Ieņēmumi</m:t>
              </m:r>
            </m:e>
            <m:sub>
              <m:r>
                <w:rPr>
                  <w:rFonts w:ascii="Cambria Math" w:hAnsi="Cambria Math"/>
                </w:rPr>
                <m:t>Kopā</m:t>
              </m:r>
            </m:sub>
          </m:sSub>
          <m:r>
            <w:rPr>
              <w:rFonts w:ascii="Cambria Math" w:hAnsi="Cambria Math"/>
            </w:rPr>
            <m:t>-</m:t>
          </m:r>
          <m:sSub>
            <m:sSubPr>
              <m:ctrlPr>
                <w:rPr>
                  <w:rFonts w:ascii="Cambria Math" w:hAnsi="Cambria Math"/>
                  <w:i/>
                </w:rPr>
              </m:ctrlPr>
            </m:sSubPr>
            <m:e>
              <m:r>
                <w:rPr>
                  <w:rFonts w:ascii="Cambria Math" w:hAnsi="Cambria Math"/>
                </w:rPr>
                <m:t>Ieguldījums</m:t>
              </m:r>
            </m:e>
            <m:sub>
              <m:r>
                <w:rPr>
                  <w:rFonts w:ascii="Cambria Math" w:hAnsi="Cambria Math"/>
                </w:rPr>
                <m:t>Kopā</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Kopā</m:t>
              </m:r>
            </m:sub>
          </m:sSub>
          <m:r>
            <w:rPr>
              <w:rFonts w:ascii="Cambria Math" w:hAnsi="Cambria Math"/>
            </w:rPr>
            <m:t>,</m:t>
          </m:r>
        </m:oMath>
      </m:oMathPara>
    </w:p>
    <w:p w14:paraId="745A92B7" w14:textId="175C49F0" w:rsidR="003F56EF" w:rsidRPr="003F56EF" w:rsidRDefault="003F56EF" w:rsidP="003F56EF">
      <w:r w:rsidRPr="003F56EF">
        <w:t>kur</w:t>
      </w:r>
      <w:r w:rsidRPr="003F56EF">
        <w:br/>
      </w:r>
      <w:proofErr w:type="spellStart"/>
      <w:r w:rsidRPr="003F56EF">
        <w:t>Pamatsumma</w:t>
      </w:r>
      <w:r w:rsidR="00AD163D">
        <w:rPr>
          <w:vertAlign w:val="subscript"/>
        </w:rPr>
        <w:t>K</w:t>
      </w:r>
      <w:r w:rsidRPr="003F56EF">
        <w:rPr>
          <w:vertAlign w:val="subscript"/>
        </w:rPr>
        <w:t>opā</w:t>
      </w:r>
      <w:proofErr w:type="spellEnd"/>
      <w:r w:rsidRPr="003F56EF">
        <w:t xml:space="preserve"> – kopējais atmaksājamās pamatsummas apmērs, EUR;</w:t>
      </w:r>
      <w:r w:rsidRPr="003F56EF">
        <w:br/>
      </w:r>
      <w:bookmarkStart w:id="0" w:name="_Hlk217987572"/>
      <w:r w:rsidRPr="003F56EF">
        <w:t>Pamatsumma</w:t>
      </w:r>
      <w:r w:rsidRPr="003F56EF">
        <w:rPr>
          <w:vertAlign w:val="subscript"/>
        </w:rPr>
        <w:t>i</w:t>
      </w:r>
      <w:bookmarkEnd w:id="0"/>
      <w:r w:rsidRPr="003F56EF">
        <w:t xml:space="preserve"> – no konkrētas bezmaksas emisijas kvotu pārdošanas reizes (i) izrietošais atmaksājamās pamatsummas apmērs, EUR;</w:t>
      </w:r>
      <w:r w:rsidRPr="003F56EF">
        <w:br/>
      </w:r>
      <w:r w:rsidRPr="003F56EF">
        <w:lastRenderedPageBreak/>
        <w:t xml:space="preserve">i – </w:t>
      </w:r>
      <w:r w:rsidR="00C62B97" w:rsidRPr="00D85995">
        <w:rPr>
          <w:rFonts w:eastAsiaTheme="minorEastAsia"/>
        </w:rPr>
        <w:t>konkrēta bezmaksas emisijas kvotu pārdošanas reize</w:t>
      </w:r>
      <w:r w:rsidRPr="00C041F6">
        <w:t>;</w:t>
      </w:r>
      <w:r w:rsidRPr="003F56EF">
        <w:br/>
        <w:t>n – pēdējā attiecīgā pārbaudes perioda bezmaksas emisijas kvotu pārdošanas reize;</w:t>
      </w:r>
      <w:r w:rsidRPr="003F56EF">
        <w:br/>
      </w:r>
      <w:proofErr w:type="spellStart"/>
      <w:r w:rsidRPr="003F56EF">
        <w:t>Ieņēmumi</w:t>
      </w:r>
      <w:r w:rsidR="00AD163D">
        <w:rPr>
          <w:vertAlign w:val="subscript"/>
        </w:rPr>
        <w:t>K</w:t>
      </w:r>
      <w:r w:rsidRPr="003F56EF">
        <w:rPr>
          <w:vertAlign w:val="subscript"/>
        </w:rPr>
        <w:t>opā</w:t>
      </w:r>
      <w:proofErr w:type="spellEnd"/>
      <w:r w:rsidRPr="003F56EF">
        <w:rPr>
          <w:vertAlign w:val="subscript"/>
        </w:rPr>
        <w:t xml:space="preserve"> </w:t>
      </w:r>
      <w:r w:rsidRPr="003F56EF">
        <w:t>– no bezmaksas emisijas kvotu pārdošanas reizēm iegūtie finanšu līdzekļi vai uz tirgus cenu balstīta ieņēmumu apmēra aplēse, EUR;</w:t>
      </w:r>
      <w:r w:rsidRPr="003F56EF">
        <w:br/>
      </w:r>
      <w:proofErr w:type="spellStart"/>
      <w:r w:rsidRPr="003F56EF">
        <w:t>Ieguldījums</w:t>
      </w:r>
      <w:r w:rsidR="00AD163D">
        <w:rPr>
          <w:vertAlign w:val="subscript"/>
        </w:rPr>
        <w:t>K</w:t>
      </w:r>
      <w:r w:rsidRPr="003F56EF">
        <w:rPr>
          <w:vertAlign w:val="subscript"/>
        </w:rPr>
        <w:t>opā</w:t>
      </w:r>
      <w:proofErr w:type="spellEnd"/>
      <w:r w:rsidRPr="003F56EF">
        <w:rPr>
          <w:vertAlign w:val="subscript"/>
        </w:rPr>
        <w:t xml:space="preserve"> </w:t>
      </w:r>
      <w:r w:rsidRPr="003F56EF">
        <w:t>– ieguldījumu apmērs siltumnīcefekta gāzu emisiju samazināšanas pasākumos, EUR;</w:t>
      </w:r>
      <w:r w:rsidRPr="003F56EF">
        <w:br/>
      </w:r>
      <w:proofErr w:type="spellStart"/>
      <w:r w:rsidRPr="003F56EF">
        <w:t>N</w:t>
      </w:r>
      <w:r w:rsidR="00AD163D">
        <w:rPr>
          <w:vertAlign w:val="subscript"/>
        </w:rPr>
        <w:t>K</w:t>
      </w:r>
      <w:r w:rsidRPr="003F56EF">
        <w:rPr>
          <w:vertAlign w:val="subscript"/>
        </w:rPr>
        <w:t>opā</w:t>
      </w:r>
      <w:proofErr w:type="spellEnd"/>
      <w:r w:rsidRPr="003F56EF">
        <w:t xml:space="preserve"> – attiecīgajā termiņā neieguldīto no bezmaksas emisijas kvotu pārdošanas iegūto finanšu līdzekļu apmērs, EUR.</w:t>
      </w:r>
    </w:p>
    <w:p w14:paraId="51BB6406" w14:textId="6724F7B0" w:rsidR="003F56EF" w:rsidRPr="003F56EF" w:rsidRDefault="0057214B" w:rsidP="00155F8B">
      <w:pPr>
        <w:jc w:val="both"/>
      </w:pPr>
      <w:r>
        <w:t>7</w:t>
      </w:r>
      <w:r w:rsidR="003F56EF" w:rsidRPr="003F56EF">
        <w:t>. Ja nav iespējams nepārprotami identificēt, no kura darījuma gūtie finanšu līdzekļi izmantoti ieguldījumiem, uzskatāms, ka ieguldījumiem vispirms izmantoti finanšu līdzekļi, kas gūti no hronoloģiski senākajiem darījumiem ar bezmaksas emisijas kvotām.</w:t>
      </w:r>
    </w:p>
    <w:p w14:paraId="533C4CCB" w14:textId="77777777" w:rsidR="00441119" w:rsidRPr="00441119" w:rsidRDefault="00441119" w:rsidP="00441119">
      <w:pPr>
        <w:jc w:val="center"/>
      </w:pPr>
      <w:r w:rsidRPr="00441119">
        <w:t>III. Korekcijas summas aprēķināšana</w:t>
      </w:r>
    </w:p>
    <w:p w14:paraId="0677B6B4" w14:textId="07B9AD2F" w:rsidR="0057214B" w:rsidRDefault="0057214B" w:rsidP="00923BC6">
      <w:pPr>
        <w:tabs>
          <w:tab w:val="num" w:pos="720"/>
        </w:tabs>
        <w:jc w:val="both"/>
      </w:pPr>
      <w:r>
        <w:t xml:space="preserve">8. </w:t>
      </w:r>
      <w:r w:rsidR="00441119" w:rsidRPr="00441119">
        <w:t xml:space="preserve">Korekcijas summa tiek aprēķināta par laikposmu no attiecīgā darījuma ar bezmaksas emisijas kvotām veikšanas dienas līdz </w:t>
      </w:r>
      <w:r w:rsidR="003D14E6">
        <w:t>lēmuma, kas</w:t>
      </w:r>
      <w:r w:rsidR="003D14E6" w:rsidRPr="006C0BE7">
        <w:t xml:space="preserve"> pieņemts saskaņā ar 32.²⁸ panta sesto daļu</w:t>
      </w:r>
      <w:r w:rsidR="003D14E6">
        <w:t>, pieņemšanas d</w:t>
      </w:r>
      <w:r w:rsidR="000853C2">
        <w:t>atumam.</w:t>
      </w:r>
    </w:p>
    <w:p w14:paraId="08052CDA" w14:textId="77777777" w:rsidR="0057214B" w:rsidRDefault="0057214B" w:rsidP="0057214B">
      <w:pPr>
        <w:tabs>
          <w:tab w:val="num" w:pos="720"/>
        </w:tabs>
      </w:pPr>
      <w:r>
        <w:t xml:space="preserve">9. </w:t>
      </w:r>
      <w:r w:rsidR="00441119" w:rsidRPr="00441119">
        <w:t>Korekcijas summas aprēķinā piemēro likumiskos procentus, kas noteikti Civillikuma 1765. pantā.</w:t>
      </w:r>
    </w:p>
    <w:p w14:paraId="5B98500D" w14:textId="6C155D40" w:rsidR="00441119" w:rsidRDefault="0057214B" w:rsidP="0057214B">
      <w:pPr>
        <w:tabs>
          <w:tab w:val="num" w:pos="720"/>
        </w:tabs>
      </w:pPr>
      <w:r>
        <w:t xml:space="preserve">10. </w:t>
      </w:r>
      <w:r w:rsidR="00441119" w:rsidRPr="00441119">
        <w:t>Korekcijas summu aprēķina, pamatojoties uz katram darījumam attiecināmo atmaksājamo pamatsummu un laikposmu, par kuru piemērojami likumiskie procenti</w:t>
      </w:r>
      <w:r w:rsidR="003F6FC7">
        <w:t xml:space="preserve">, ko </w:t>
      </w:r>
      <w:r w:rsidR="003F6FC7" w:rsidRPr="003F6FC7">
        <w:t>aprēķina, izmantojot šādu formulu:</w:t>
      </w:r>
    </w:p>
    <w:p w14:paraId="00ADFCAA" w14:textId="1385A4F3" w:rsidR="000D404B" w:rsidRDefault="00000000" w:rsidP="00BD1C82">
      <w:pPr>
        <w:pStyle w:val="ListParagraph"/>
        <w:jc w:val="both"/>
        <w:rPr>
          <w:rFonts w:eastAsiaTheme="minorEastAsia"/>
        </w:rPr>
      </w:pPr>
      <m:oMath>
        <m:sSub>
          <m:sSubPr>
            <m:ctrlPr>
              <w:rPr>
                <w:rFonts w:ascii="Cambria Math" w:hAnsi="Cambria Math"/>
                <w:i/>
              </w:rPr>
            </m:ctrlPr>
          </m:sSubPr>
          <m:e>
            <m:r>
              <w:rPr>
                <w:rFonts w:ascii="Cambria Math" w:hAnsi="Cambria Math"/>
              </w:rPr>
              <m:t>Korekcija</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Pamatsumma</m:t>
            </m:r>
          </m:e>
          <m:sub>
            <m:r>
              <w:rPr>
                <w:rFonts w:ascii="Cambria Math" w:hAnsi="Cambria Math"/>
              </w:rPr>
              <m:t>i</m:t>
            </m:r>
          </m:sub>
        </m:sSub>
        <m:r>
          <w:rPr>
            <w:rFonts w:ascii="Cambria Math" w:hAnsi="Cambria Math"/>
          </w:rPr>
          <m:t xml:space="preserve">*Likumiskie procenti* </m:t>
        </m:r>
        <m:f>
          <m:fPr>
            <m:ctrlPr>
              <w:rPr>
                <w:rFonts w:ascii="Cambria Math" w:hAnsi="Cambria Math"/>
                <w:i/>
              </w:rPr>
            </m:ctrlPr>
          </m:fPr>
          <m:num>
            <m:r>
              <w:rPr>
                <w:rFonts w:ascii="Cambria Math" w:hAnsi="Cambria Math"/>
              </w:rPr>
              <m:t>d</m:t>
            </m:r>
          </m:num>
          <m:den>
            <m:r>
              <w:rPr>
                <w:rFonts w:ascii="Cambria Math" w:hAnsi="Cambria Math"/>
              </w:rPr>
              <m:t>365</m:t>
            </m:r>
          </m:den>
        </m:f>
      </m:oMath>
      <w:r w:rsidR="00635421">
        <w:rPr>
          <w:rFonts w:eastAsiaTheme="minorEastAsia"/>
        </w:rPr>
        <w:t xml:space="preserve">, </w:t>
      </w:r>
    </w:p>
    <w:p w14:paraId="1F7A64CE" w14:textId="77777777" w:rsidR="000D404B" w:rsidRDefault="000D404B" w:rsidP="00BD1C82">
      <w:pPr>
        <w:pStyle w:val="ListParagraph"/>
        <w:jc w:val="both"/>
        <w:rPr>
          <w:rFonts w:eastAsiaTheme="minorEastAsia"/>
        </w:rPr>
      </w:pPr>
    </w:p>
    <w:p w14:paraId="21F58E71" w14:textId="2DC2A681" w:rsidR="00635421" w:rsidRDefault="00635421" w:rsidP="00BD1C82">
      <w:pPr>
        <w:pStyle w:val="ListParagraph"/>
        <w:jc w:val="both"/>
        <w:rPr>
          <w:rFonts w:eastAsiaTheme="minorEastAsia"/>
        </w:rPr>
      </w:pPr>
      <w:r>
        <w:rPr>
          <w:rFonts w:eastAsiaTheme="minorEastAsia"/>
        </w:rPr>
        <w:t>kur</w:t>
      </w:r>
    </w:p>
    <w:p w14:paraId="3105E98D" w14:textId="29755FC3" w:rsidR="00BD1C82" w:rsidRPr="00BD1C82" w:rsidRDefault="00BD1C82" w:rsidP="00BD1C82">
      <w:pPr>
        <w:pStyle w:val="ListParagraph"/>
        <w:jc w:val="both"/>
        <w:rPr>
          <w:rFonts w:eastAsiaTheme="minorEastAsia"/>
        </w:rPr>
      </w:pPr>
      <w:r w:rsidRPr="00BD1C82">
        <w:rPr>
          <w:rFonts w:eastAsiaTheme="minorEastAsia"/>
        </w:rPr>
        <w:t>Korekcija</w:t>
      </w:r>
      <w:r w:rsidRPr="00BD1C82">
        <w:rPr>
          <w:rFonts w:eastAsiaTheme="minorEastAsia"/>
          <w:vertAlign w:val="subscript"/>
        </w:rPr>
        <w:t>i</w:t>
      </w:r>
      <w:r w:rsidRPr="00BD1C82">
        <w:rPr>
          <w:rFonts w:eastAsiaTheme="minorEastAsia"/>
        </w:rPr>
        <w:t xml:space="preserve"> – no konkrētas bezmaksas emisijas kvotu pārdošanas reizes (i)</w:t>
      </w:r>
      <w:r>
        <w:rPr>
          <w:rFonts w:eastAsiaTheme="minorEastAsia"/>
        </w:rPr>
        <w:t xml:space="preserve"> </w:t>
      </w:r>
      <w:r w:rsidRPr="00BD1C82">
        <w:rPr>
          <w:rFonts w:eastAsiaTheme="minorEastAsia"/>
        </w:rPr>
        <w:t xml:space="preserve">izrietoša korekcija, EUR; </w:t>
      </w:r>
    </w:p>
    <w:p w14:paraId="4ADD9F3D" w14:textId="7D5CD2AB" w:rsidR="00BD1C82" w:rsidRPr="00BD1C82" w:rsidRDefault="00BD1C82" w:rsidP="00BD1C82">
      <w:pPr>
        <w:pStyle w:val="ListParagraph"/>
        <w:jc w:val="both"/>
        <w:rPr>
          <w:rFonts w:eastAsiaTheme="minorEastAsia"/>
        </w:rPr>
      </w:pPr>
      <w:r w:rsidRPr="00BD1C82">
        <w:rPr>
          <w:rFonts w:eastAsiaTheme="minorEastAsia"/>
        </w:rPr>
        <w:t>i –</w:t>
      </w:r>
      <w:r w:rsidR="00D85995" w:rsidRPr="00D85995">
        <w:t xml:space="preserve"> </w:t>
      </w:r>
      <w:r w:rsidR="00D85995" w:rsidRPr="00D85995">
        <w:rPr>
          <w:rFonts w:eastAsiaTheme="minorEastAsia"/>
        </w:rPr>
        <w:t>konkrēta bezmaksas emisijas kvotu pārdošanas reize</w:t>
      </w:r>
      <w:r w:rsidRPr="00BD1C82">
        <w:rPr>
          <w:rFonts w:eastAsiaTheme="minorEastAsia"/>
        </w:rPr>
        <w:t xml:space="preserve">; </w:t>
      </w:r>
    </w:p>
    <w:p w14:paraId="3332B8E8" w14:textId="05B5A49C" w:rsidR="00BD1C82" w:rsidRPr="00BD1C82" w:rsidRDefault="00BD1C82" w:rsidP="00BD1C82">
      <w:pPr>
        <w:pStyle w:val="ListParagraph"/>
        <w:jc w:val="both"/>
        <w:rPr>
          <w:rFonts w:eastAsiaTheme="minorEastAsia"/>
        </w:rPr>
      </w:pPr>
      <w:r w:rsidRPr="00BD1C82">
        <w:rPr>
          <w:rFonts w:eastAsiaTheme="minorEastAsia"/>
        </w:rPr>
        <w:t>Pamatsumma</w:t>
      </w:r>
      <w:r w:rsidRPr="00BD1C82">
        <w:rPr>
          <w:rFonts w:eastAsiaTheme="minorEastAsia"/>
          <w:vertAlign w:val="subscript"/>
        </w:rPr>
        <w:t xml:space="preserve">i </w:t>
      </w:r>
      <w:r w:rsidRPr="00BD1C82">
        <w:rPr>
          <w:rFonts w:eastAsiaTheme="minorEastAsia"/>
        </w:rPr>
        <w:t>– no konkrētas bezmaksas emisijas kvotu pārdošanas reizes (i)</w:t>
      </w:r>
      <w:r>
        <w:rPr>
          <w:rFonts w:eastAsiaTheme="minorEastAsia"/>
        </w:rPr>
        <w:t xml:space="preserve"> </w:t>
      </w:r>
      <w:r w:rsidRPr="00BD1C82">
        <w:rPr>
          <w:rFonts w:eastAsiaTheme="minorEastAsia"/>
        </w:rPr>
        <w:t xml:space="preserve">izrietošo ienākumu summa, kas </w:t>
      </w:r>
      <w:r w:rsidR="00D8468B">
        <w:rPr>
          <w:rFonts w:eastAsiaTheme="minorEastAsia"/>
        </w:rPr>
        <w:t>ne</w:t>
      </w:r>
      <w:r w:rsidRPr="00BD1C82">
        <w:rPr>
          <w:rFonts w:eastAsiaTheme="minorEastAsia"/>
        </w:rPr>
        <w:t>tika izmantota</w:t>
      </w:r>
      <w:r w:rsidR="00200A89">
        <w:rPr>
          <w:rFonts w:eastAsiaTheme="minorEastAsia"/>
        </w:rPr>
        <w:t xml:space="preserve"> saskaņā ar </w:t>
      </w:r>
      <w:r w:rsidR="005F1DE5">
        <w:rPr>
          <w:rFonts w:eastAsiaTheme="minorEastAsia"/>
        </w:rPr>
        <w:t xml:space="preserve">likuma </w:t>
      </w:r>
      <w:r w:rsidR="00200A89" w:rsidRPr="00341796">
        <w:t xml:space="preserve">32.²⁸ panta </w:t>
      </w:r>
      <w:r w:rsidR="00B6555E">
        <w:t>otro</w:t>
      </w:r>
      <w:r w:rsidR="00200A89" w:rsidRPr="00341796">
        <w:t xml:space="preserve"> daļu</w:t>
      </w:r>
      <w:r w:rsidRPr="00BD1C82">
        <w:rPr>
          <w:rFonts w:eastAsiaTheme="minorEastAsia"/>
        </w:rPr>
        <w:t xml:space="preserve">, EUR; </w:t>
      </w:r>
    </w:p>
    <w:p w14:paraId="03E5F5EA" w14:textId="77777777" w:rsidR="00BD1C82" w:rsidRDefault="00BD1C82" w:rsidP="00BD1C82">
      <w:pPr>
        <w:pStyle w:val="ListParagraph"/>
        <w:rPr>
          <w:rFonts w:eastAsiaTheme="minorEastAsia"/>
        </w:rPr>
      </w:pPr>
      <w:r w:rsidRPr="00BD1C82">
        <w:rPr>
          <w:rFonts w:eastAsiaTheme="minorEastAsia"/>
        </w:rPr>
        <w:t xml:space="preserve">Likumiskie procenti – likumiskie procenti, kā noteikts Civillikuma 1765. pantā, </w:t>
      </w:r>
      <w:r>
        <w:rPr>
          <w:rFonts w:eastAsiaTheme="minorEastAsia"/>
        </w:rPr>
        <w:t xml:space="preserve">procenti </w:t>
      </w:r>
      <w:r w:rsidRPr="00BD1C82">
        <w:rPr>
          <w:rFonts w:eastAsiaTheme="minorEastAsia"/>
        </w:rPr>
        <w:t xml:space="preserve">gadā; </w:t>
      </w:r>
    </w:p>
    <w:p w14:paraId="2C9003D9" w14:textId="6E4BFD58" w:rsidR="00BD1C82" w:rsidRPr="00AB46D7" w:rsidRDefault="00BD1C82" w:rsidP="00AB46D7">
      <w:pPr>
        <w:pStyle w:val="ListParagraph"/>
        <w:rPr>
          <w:rFonts w:eastAsiaTheme="minorEastAsia"/>
        </w:rPr>
      </w:pPr>
      <w:r w:rsidRPr="00AB46D7">
        <w:rPr>
          <w:rFonts w:eastAsiaTheme="minorEastAsia"/>
        </w:rPr>
        <w:t>d –</w:t>
      </w:r>
      <w:r w:rsidR="00AB46D7" w:rsidRPr="00AB46D7">
        <w:rPr>
          <w:rFonts w:eastAsiaTheme="minorEastAsia"/>
        </w:rPr>
        <w:t xml:space="preserve"> </w:t>
      </w:r>
      <w:r w:rsidR="00AB46D7" w:rsidRPr="00AB46D7">
        <w:rPr>
          <w:rFonts w:eastAsiaTheme="minorEastAsia"/>
        </w:rPr>
        <w:t>dienu skaits no datuma, kurā notika konkrētā bezmaksas emisiju kvotu pārdošanas reize (i), līdz administratīvā lēmuma pieņemšanas datumam par nepieciešamību atmaksāt pamatsummu</w:t>
      </w:r>
      <w:r w:rsidRPr="00AB46D7">
        <w:rPr>
          <w:rFonts w:eastAsiaTheme="minorEastAsia"/>
        </w:rPr>
        <w:t xml:space="preserve">; </w:t>
      </w:r>
    </w:p>
    <w:p w14:paraId="2B8BAEE7" w14:textId="71E30FDE" w:rsidR="00997227" w:rsidRPr="00AB46D7" w:rsidRDefault="00BD1C82" w:rsidP="00997227">
      <w:pPr>
        <w:pStyle w:val="ListParagraph"/>
        <w:numPr>
          <w:ilvl w:val="0"/>
          <w:numId w:val="3"/>
        </w:numPr>
        <w:rPr>
          <w:rFonts w:eastAsiaTheme="minorEastAsia"/>
        </w:rPr>
      </w:pPr>
      <w:r w:rsidRPr="00BD1C82">
        <w:rPr>
          <w:rFonts w:eastAsiaTheme="minorEastAsia"/>
        </w:rPr>
        <w:t>– dienu skaits gadā.</w:t>
      </w:r>
    </w:p>
    <w:p w14:paraId="253CDE38" w14:textId="7869F226" w:rsidR="00F9462C" w:rsidRDefault="0057214B" w:rsidP="0057214B">
      <w:pPr>
        <w:ind w:left="360"/>
      </w:pPr>
      <w:r>
        <w:t xml:space="preserve">11. </w:t>
      </w:r>
      <w:r w:rsidR="00441119" w:rsidRPr="00441119">
        <w:t>Kopējā korekcijas summa ir visu atsevišķo darījumu korekcijas summu kopsumma</w:t>
      </w:r>
      <w:r w:rsidR="003F6FC7">
        <w:t xml:space="preserve">, ko </w:t>
      </w:r>
      <w:r w:rsidR="003F6FC7" w:rsidRPr="003F6FC7">
        <w:t>aprēķina, izmantojot šādu formulu</w:t>
      </w:r>
      <w:r w:rsidR="004F7E6C">
        <w:t>:</w:t>
      </w:r>
    </w:p>
    <w:p w14:paraId="7007BA56" w14:textId="2934988D" w:rsidR="006C71AA" w:rsidRPr="00F9462C" w:rsidRDefault="00000000" w:rsidP="00F9462C">
      <w:pPr>
        <w:ind w:left="720"/>
        <w:jc w:val="center"/>
        <w:rPr>
          <w:rFonts w:eastAsiaTheme="minorEastAsia"/>
        </w:rPr>
      </w:pPr>
      <m:oMath>
        <m:sSub>
          <m:sSubPr>
            <m:ctrlPr>
              <w:rPr>
                <w:rFonts w:ascii="Cambria Math" w:hAnsi="Cambria Math"/>
                <w:i/>
              </w:rPr>
            </m:ctrlPr>
          </m:sSubPr>
          <m:e>
            <m:r>
              <w:rPr>
                <w:rFonts w:ascii="Cambria Math" w:hAnsi="Cambria Math"/>
              </w:rPr>
              <m:t>Korekcija</m:t>
            </m:r>
          </m:e>
          <m:sub>
            <m:r>
              <w:rPr>
                <w:rFonts w:ascii="Cambria Math" w:hAnsi="Cambria Math"/>
              </w:rPr>
              <m:t>Kopā</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Korekcija</m:t>
                </m:r>
              </m:e>
              <m:sub>
                <m:r>
                  <w:rPr>
                    <w:rFonts w:ascii="Cambria Math" w:hAnsi="Cambria Math"/>
                  </w:rPr>
                  <m:t>i</m:t>
                </m:r>
              </m:sub>
            </m:sSub>
          </m:e>
        </m:nary>
      </m:oMath>
      <w:r w:rsidR="006C71AA">
        <w:rPr>
          <w:rFonts w:eastAsiaTheme="minorEastAsia"/>
        </w:rPr>
        <w:t>,</w:t>
      </w:r>
    </w:p>
    <w:p w14:paraId="0D5AC60A" w14:textId="77777777" w:rsidR="006C71AA" w:rsidRPr="006C71AA" w:rsidRDefault="006C71AA" w:rsidP="006C71AA">
      <w:pPr>
        <w:ind w:left="720"/>
      </w:pPr>
      <w:r w:rsidRPr="006C71AA">
        <w:t xml:space="preserve">kur </w:t>
      </w:r>
    </w:p>
    <w:p w14:paraId="6E6C3257" w14:textId="77072A53" w:rsidR="006C71AA" w:rsidRPr="006C71AA" w:rsidRDefault="006C71AA" w:rsidP="006C71AA">
      <w:pPr>
        <w:ind w:left="720"/>
      </w:pPr>
      <w:proofErr w:type="spellStart"/>
      <w:r w:rsidRPr="006C71AA">
        <w:t>Korekcija</w:t>
      </w:r>
      <w:r w:rsidRPr="00F9462C">
        <w:rPr>
          <w:vertAlign w:val="subscript"/>
        </w:rPr>
        <w:t>K</w:t>
      </w:r>
      <w:r w:rsidRPr="006C71AA">
        <w:rPr>
          <w:vertAlign w:val="subscript"/>
        </w:rPr>
        <w:t>opā</w:t>
      </w:r>
      <w:proofErr w:type="spellEnd"/>
      <w:r w:rsidRPr="006C71AA">
        <w:t xml:space="preserve"> – visu aplēsto korekciju kopsumma, EUR; </w:t>
      </w:r>
    </w:p>
    <w:p w14:paraId="47D42319" w14:textId="77777777" w:rsidR="006C71AA" w:rsidRPr="006C71AA" w:rsidRDefault="006C71AA" w:rsidP="006C71AA">
      <w:pPr>
        <w:ind w:left="720"/>
      </w:pPr>
      <w:r w:rsidRPr="006C71AA">
        <w:lastRenderedPageBreak/>
        <w:t>Korekcija</w:t>
      </w:r>
      <w:r w:rsidRPr="006C71AA">
        <w:rPr>
          <w:vertAlign w:val="subscript"/>
        </w:rPr>
        <w:t xml:space="preserve">i </w:t>
      </w:r>
      <w:r w:rsidRPr="006C71AA">
        <w:t xml:space="preserve">– no konkrētas bezmaksas emisijas kvotu pārdošanas reizes (i) izrietoša korekcija, EUR; </w:t>
      </w:r>
    </w:p>
    <w:p w14:paraId="30535AB6" w14:textId="34D9AA93" w:rsidR="006C71AA" w:rsidRPr="006C71AA" w:rsidRDefault="006C71AA" w:rsidP="006C71AA">
      <w:pPr>
        <w:ind w:left="720"/>
      </w:pPr>
      <w:r w:rsidRPr="006C71AA">
        <w:t xml:space="preserve">i – </w:t>
      </w:r>
      <w:r w:rsidR="000E3C9C" w:rsidRPr="00D85995">
        <w:rPr>
          <w:rFonts w:eastAsiaTheme="minorEastAsia"/>
        </w:rPr>
        <w:t>konkrēta bezmaksas emisijas kvotu pārdošanas reize</w:t>
      </w:r>
      <w:r w:rsidR="006A274A" w:rsidRPr="00C041F6">
        <w:t>;</w:t>
      </w:r>
    </w:p>
    <w:p w14:paraId="4E0A1183" w14:textId="021206E2" w:rsidR="00B46726" w:rsidRDefault="006C71AA" w:rsidP="00BC6ED0">
      <w:pPr>
        <w:ind w:left="720"/>
      </w:pPr>
      <w:r w:rsidRPr="00F9462C">
        <w:t xml:space="preserve">n – </w:t>
      </w:r>
      <w:r w:rsidR="00BC6ED0" w:rsidRPr="00BC6ED0">
        <w:t>pēdējā attiecīgā audita perioda bezmaksas emisijas kvotu pārdošanas reize.</w:t>
      </w:r>
    </w:p>
    <w:p w14:paraId="1B5F46B6" w14:textId="77777777" w:rsidR="004E099E" w:rsidRPr="004E099E" w:rsidRDefault="004E099E" w:rsidP="004E099E">
      <w:pPr>
        <w:jc w:val="center"/>
      </w:pPr>
      <w:r w:rsidRPr="004E099E">
        <w:t>IV. Kopējais atmaksājamais finanšu līdzekļu apmērs</w:t>
      </w:r>
    </w:p>
    <w:p w14:paraId="31286B1E" w14:textId="198559E1" w:rsidR="004E099E" w:rsidRDefault="0057214B" w:rsidP="0057214B">
      <w:pPr>
        <w:ind w:left="360"/>
      </w:pPr>
      <w:r>
        <w:t xml:space="preserve">12. </w:t>
      </w:r>
      <w:r w:rsidR="004E099E" w:rsidRPr="004E099E">
        <w:t>Kopējais atmaksājamais finanšu līdzekļu apmērs ir atmaksājamās pamatsummas un korekcijas summas summa</w:t>
      </w:r>
      <w:r w:rsidR="009B6817">
        <w:t xml:space="preserve">, </w:t>
      </w:r>
      <w:r w:rsidR="003F6FC7">
        <w:t xml:space="preserve">ko </w:t>
      </w:r>
      <w:r w:rsidR="009B6817" w:rsidRPr="009B6817">
        <w:t>aprēķina, izmantojot šādu formulu:</w:t>
      </w:r>
    </w:p>
    <w:p w14:paraId="7AC21941" w14:textId="02265E39" w:rsidR="00FC744F" w:rsidRPr="000D2B11" w:rsidRDefault="00392C00" w:rsidP="00392C00">
      <w:pPr>
        <w:pStyle w:val="ListParagraph"/>
        <w:jc w:val="center"/>
      </w:pPr>
      <m:oMath>
        <m:r>
          <w:rPr>
            <w:rFonts w:ascii="Cambria Math" w:hAnsi="Cambria Math"/>
          </w:rPr>
          <m:t xml:space="preserve">Atmaksa= </m:t>
        </m:r>
        <m:sSub>
          <m:sSubPr>
            <m:ctrlPr>
              <w:rPr>
                <w:rFonts w:ascii="Cambria Math" w:hAnsi="Cambria Math"/>
                <w:i/>
              </w:rPr>
            </m:ctrlPr>
          </m:sSubPr>
          <m:e>
            <m:r>
              <w:rPr>
                <w:rFonts w:ascii="Cambria Math" w:hAnsi="Cambria Math"/>
              </w:rPr>
              <m:t>Pamatsumma</m:t>
            </m:r>
          </m:e>
          <m:sub>
            <m:r>
              <w:rPr>
                <w:rFonts w:ascii="Cambria Math" w:hAnsi="Cambria Math"/>
              </w:rPr>
              <m:t>Kopā</m:t>
            </m:r>
          </m:sub>
        </m:sSub>
        <m:r>
          <w:rPr>
            <w:rFonts w:ascii="Cambria Math" w:hAnsi="Cambria Math"/>
          </w:rPr>
          <m:t xml:space="preserve">+ </m:t>
        </m:r>
        <m:sSub>
          <m:sSubPr>
            <m:ctrlPr>
              <w:rPr>
                <w:rFonts w:ascii="Cambria Math" w:hAnsi="Cambria Math"/>
                <w:i/>
              </w:rPr>
            </m:ctrlPr>
          </m:sSubPr>
          <m:e>
            <m:r>
              <w:rPr>
                <w:rFonts w:ascii="Cambria Math" w:hAnsi="Cambria Math"/>
              </w:rPr>
              <m:t>Korekcija</m:t>
            </m:r>
          </m:e>
          <m:sub>
            <m:r>
              <w:rPr>
                <w:rFonts w:ascii="Cambria Math" w:hAnsi="Cambria Math"/>
              </w:rPr>
              <m:t>Kopā</m:t>
            </m:r>
          </m:sub>
        </m:sSub>
      </m:oMath>
      <w:r>
        <w:rPr>
          <w:rFonts w:eastAsiaTheme="minorEastAsia"/>
        </w:rPr>
        <w:t>,</w:t>
      </w:r>
    </w:p>
    <w:p w14:paraId="59A42385" w14:textId="77777777" w:rsidR="00392C00" w:rsidRPr="00392C00" w:rsidRDefault="00392C00" w:rsidP="00392C00">
      <w:pPr>
        <w:ind w:left="720"/>
        <w:rPr>
          <w:lang w:val="en-GB"/>
        </w:rPr>
      </w:pPr>
      <w:proofErr w:type="spellStart"/>
      <w:r w:rsidRPr="00392C00">
        <w:rPr>
          <w:lang w:val="en-GB"/>
        </w:rPr>
        <w:t>kur</w:t>
      </w:r>
      <w:proofErr w:type="spellEnd"/>
      <w:r w:rsidRPr="00392C00">
        <w:rPr>
          <w:lang w:val="en-GB"/>
        </w:rPr>
        <w:t xml:space="preserve"> </w:t>
      </w:r>
    </w:p>
    <w:p w14:paraId="08F387B3" w14:textId="41ED5370" w:rsidR="00392C00" w:rsidRPr="00392C00" w:rsidRDefault="00392C00" w:rsidP="00392C00">
      <w:pPr>
        <w:ind w:left="720"/>
      </w:pPr>
      <w:r w:rsidRPr="00392C00">
        <w:t xml:space="preserve">Atmaksa – kopējais atmaksājamais apmērs, EUR; </w:t>
      </w:r>
    </w:p>
    <w:p w14:paraId="24AA01F2" w14:textId="402F271D" w:rsidR="001721A7" w:rsidRDefault="001721A7" w:rsidP="00392C00">
      <w:pPr>
        <w:ind w:left="720"/>
      </w:pPr>
      <w:r w:rsidRPr="001721A7">
        <w:t>Pamatsumma</w:t>
      </w:r>
      <w:r w:rsidRPr="001721A7">
        <w:rPr>
          <w:vertAlign w:val="subscript"/>
        </w:rPr>
        <w:t xml:space="preserve">i </w:t>
      </w:r>
      <w:r w:rsidRPr="001721A7">
        <w:t xml:space="preserve">– no konkrētas bezmaksas emisijas kvotu pārdošanas reizes (i) izrietošo ienākumu summa, kas netika izmantota saskaņā ar likuma  32.²⁸ panta otro daļu, EUR; </w:t>
      </w:r>
    </w:p>
    <w:p w14:paraId="2DF0DB90" w14:textId="2DAE409C" w:rsidR="005E6191" w:rsidRPr="004E099E" w:rsidRDefault="00392C00" w:rsidP="00392C00">
      <w:pPr>
        <w:ind w:left="720"/>
      </w:pPr>
      <w:proofErr w:type="spellStart"/>
      <w:r w:rsidRPr="00392C00">
        <w:t>Korekcija</w:t>
      </w:r>
      <w:r w:rsidRPr="00392C00">
        <w:rPr>
          <w:vertAlign w:val="subscript"/>
        </w:rPr>
        <w:t>Kopā</w:t>
      </w:r>
      <w:proofErr w:type="spellEnd"/>
      <w:r w:rsidRPr="00392C00">
        <w:t xml:space="preserve"> – visu aplēsto korekciju kopsumma, EUR.</w:t>
      </w:r>
    </w:p>
    <w:p w14:paraId="3D04FF57" w14:textId="7A6AA037" w:rsidR="004E099E" w:rsidRPr="003F56EF" w:rsidRDefault="0057214B" w:rsidP="004B0970">
      <w:pPr>
        <w:ind w:left="360"/>
        <w:jc w:val="both"/>
      </w:pPr>
      <w:r>
        <w:t xml:space="preserve">13. </w:t>
      </w:r>
      <w:r w:rsidR="006C0BE7" w:rsidRPr="006C0BE7">
        <w:t>Par atmaksas datumu uzskatāms administratīvā lēmuma par finanšu līdzekļu atmaksu, kas pieņemts saskaņā ar likuma 32.²⁸ panta sesto daļu, pieņemšanas datums.</w:t>
      </w:r>
    </w:p>
    <w:sectPr w:rsidR="004E099E" w:rsidRPr="003F56E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87D81"/>
    <w:multiLevelType w:val="multilevel"/>
    <w:tmpl w:val="334A23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3B7D0D"/>
    <w:multiLevelType w:val="multilevel"/>
    <w:tmpl w:val="480C4A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111B0B"/>
    <w:multiLevelType w:val="hybridMultilevel"/>
    <w:tmpl w:val="D0CA59C4"/>
    <w:lvl w:ilvl="0" w:tplc="DB68E196">
      <w:start w:val="36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4491EF6"/>
    <w:multiLevelType w:val="hybridMultilevel"/>
    <w:tmpl w:val="3DA0AC50"/>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D36EBB"/>
    <w:multiLevelType w:val="hybridMultilevel"/>
    <w:tmpl w:val="0182171C"/>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1235485">
    <w:abstractNumId w:val="1"/>
  </w:num>
  <w:num w:numId="2" w16cid:durableId="1184782351">
    <w:abstractNumId w:val="0"/>
  </w:num>
  <w:num w:numId="3" w16cid:durableId="1162545054">
    <w:abstractNumId w:val="2"/>
  </w:num>
  <w:num w:numId="4" w16cid:durableId="985088737">
    <w:abstractNumId w:val="4"/>
  </w:num>
  <w:num w:numId="5" w16cid:durableId="19080262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6EF"/>
    <w:rsid w:val="00002E36"/>
    <w:rsid w:val="00005AE5"/>
    <w:rsid w:val="00023D22"/>
    <w:rsid w:val="00033831"/>
    <w:rsid w:val="000853C2"/>
    <w:rsid w:val="000D307D"/>
    <w:rsid w:val="000D404B"/>
    <w:rsid w:val="000E3C9C"/>
    <w:rsid w:val="000F633B"/>
    <w:rsid w:val="0010702B"/>
    <w:rsid w:val="0011089B"/>
    <w:rsid w:val="0011583E"/>
    <w:rsid w:val="00124F05"/>
    <w:rsid w:val="00136FE1"/>
    <w:rsid w:val="001409ED"/>
    <w:rsid w:val="001439AC"/>
    <w:rsid w:val="0015276E"/>
    <w:rsid w:val="00155F8B"/>
    <w:rsid w:val="00161138"/>
    <w:rsid w:val="001721A7"/>
    <w:rsid w:val="001751CF"/>
    <w:rsid w:val="0018635C"/>
    <w:rsid w:val="001D11E9"/>
    <w:rsid w:val="001E5390"/>
    <w:rsid w:val="00200A89"/>
    <w:rsid w:val="00223BEB"/>
    <w:rsid w:val="00237BEE"/>
    <w:rsid w:val="002601AF"/>
    <w:rsid w:val="00264612"/>
    <w:rsid w:val="002B09F5"/>
    <w:rsid w:val="002B6D28"/>
    <w:rsid w:val="002C20C4"/>
    <w:rsid w:val="002F7508"/>
    <w:rsid w:val="00341796"/>
    <w:rsid w:val="00342CF8"/>
    <w:rsid w:val="003778B7"/>
    <w:rsid w:val="0038177F"/>
    <w:rsid w:val="00392C00"/>
    <w:rsid w:val="003B0D57"/>
    <w:rsid w:val="003D14E6"/>
    <w:rsid w:val="003E00BC"/>
    <w:rsid w:val="003F56EF"/>
    <w:rsid w:val="003F6FC7"/>
    <w:rsid w:val="00425528"/>
    <w:rsid w:val="00441119"/>
    <w:rsid w:val="00442680"/>
    <w:rsid w:val="004758CF"/>
    <w:rsid w:val="00477A18"/>
    <w:rsid w:val="00486C20"/>
    <w:rsid w:val="004B0970"/>
    <w:rsid w:val="004C5280"/>
    <w:rsid w:val="004E099E"/>
    <w:rsid w:val="004F03FE"/>
    <w:rsid w:val="004F35DF"/>
    <w:rsid w:val="004F7E6C"/>
    <w:rsid w:val="00524851"/>
    <w:rsid w:val="00545958"/>
    <w:rsid w:val="00555424"/>
    <w:rsid w:val="005668A7"/>
    <w:rsid w:val="005713E4"/>
    <w:rsid w:val="0057214B"/>
    <w:rsid w:val="00573E2A"/>
    <w:rsid w:val="005A31F3"/>
    <w:rsid w:val="005C7C0D"/>
    <w:rsid w:val="005E6191"/>
    <w:rsid w:val="005F1DE5"/>
    <w:rsid w:val="005F7A3E"/>
    <w:rsid w:val="00635421"/>
    <w:rsid w:val="00637452"/>
    <w:rsid w:val="00637727"/>
    <w:rsid w:val="00665CAC"/>
    <w:rsid w:val="006A274A"/>
    <w:rsid w:val="006A27AC"/>
    <w:rsid w:val="006C0BE7"/>
    <w:rsid w:val="006C71AA"/>
    <w:rsid w:val="006E0607"/>
    <w:rsid w:val="006F260F"/>
    <w:rsid w:val="00713023"/>
    <w:rsid w:val="0072001C"/>
    <w:rsid w:val="00743331"/>
    <w:rsid w:val="007904F4"/>
    <w:rsid w:val="00793A22"/>
    <w:rsid w:val="007A6071"/>
    <w:rsid w:val="007C1B50"/>
    <w:rsid w:val="007C7389"/>
    <w:rsid w:val="007D031E"/>
    <w:rsid w:val="007F6116"/>
    <w:rsid w:val="0080027F"/>
    <w:rsid w:val="008510F9"/>
    <w:rsid w:val="00867E78"/>
    <w:rsid w:val="008A4479"/>
    <w:rsid w:val="008F0E5F"/>
    <w:rsid w:val="008F2A27"/>
    <w:rsid w:val="00905DD0"/>
    <w:rsid w:val="00911C98"/>
    <w:rsid w:val="00916A35"/>
    <w:rsid w:val="00923BC6"/>
    <w:rsid w:val="0094074C"/>
    <w:rsid w:val="00960AE9"/>
    <w:rsid w:val="0097537F"/>
    <w:rsid w:val="0097673E"/>
    <w:rsid w:val="00997227"/>
    <w:rsid w:val="009B60EB"/>
    <w:rsid w:val="009B6817"/>
    <w:rsid w:val="009C35BB"/>
    <w:rsid w:val="009E6BDC"/>
    <w:rsid w:val="00A03C6B"/>
    <w:rsid w:val="00A16E79"/>
    <w:rsid w:val="00A26325"/>
    <w:rsid w:val="00AB2E91"/>
    <w:rsid w:val="00AB46D7"/>
    <w:rsid w:val="00AC6F13"/>
    <w:rsid w:val="00AD163D"/>
    <w:rsid w:val="00AF725B"/>
    <w:rsid w:val="00AF782B"/>
    <w:rsid w:val="00B40F9A"/>
    <w:rsid w:val="00B46726"/>
    <w:rsid w:val="00B6555E"/>
    <w:rsid w:val="00B70397"/>
    <w:rsid w:val="00BA23AA"/>
    <w:rsid w:val="00BB6365"/>
    <w:rsid w:val="00BB7BB3"/>
    <w:rsid w:val="00BC6ED0"/>
    <w:rsid w:val="00BD1C82"/>
    <w:rsid w:val="00BE2CF5"/>
    <w:rsid w:val="00BE2F6A"/>
    <w:rsid w:val="00BF137E"/>
    <w:rsid w:val="00C00250"/>
    <w:rsid w:val="00C041F6"/>
    <w:rsid w:val="00C05300"/>
    <w:rsid w:val="00C14622"/>
    <w:rsid w:val="00C22990"/>
    <w:rsid w:val="00C378F2"/>
    <w:rsid w:val="00C62B97"/>
    <w:rsid w:val="00C63C01"/>
    <w:rsid w:val="00C76131"/>
    <w:rsid w:val="00C933F2"/>
    <w:rsid w:val="00CA23ED"/>
    <w:rsid w:val="00CB6F18"/>
    <w:rsid w:val="00CC69D7"/>
    <w:rsid w:val="00D02FE2"/>
    <w:rsid w:val="00D13A66"/>
    <w:rsid w:val="00D21F94"/>
    <w:rsid w:val="00D412EB"/>
    <w:rsid w:val="00D61022"/>
    <w:rsid w:val="00D757F6"/>
    <w:rsid w:val="00D75CC1"/>
    <w:rsid w:val="00D80A3C"/>
    <w:rsid w:val="00D8468B"/>
    <w:rsid w:val="00D85995"/>
    <w:rsid w:val="00D93C23"/>
    <w:rsid w:val="00DF4AD4"/>
    <w:rsid w:val="00E01CC9"/>
    <w:rsid w:val="00E063DB"/>
    <w:rsid w:val="00E06B8F"/>
    <w:rsid w:val="00E12382"/>
    <w:rsid w:val="00E2538D"/>
    <w:rsid w:val="00E429A7"/>
    <w:rsid w:val="00E46635"/>
    <w:rsid w:val="00E70899"/>
    <w:rsid w:val="00E81EC1"/>
    <w:rsid w:val="00E941D3"/>
    <w:rsid w:val="00EC67F8"/>
    <w:rsid w:val="00EC695F"/>
    <w:rsid w:val="00EE3472"/>
    <w:rsid w:val="00F26D32"/>
    <w:rsid w:val="00F818C1"/>
    <w:rsid w:val="00F9462C"/>
    <w:rsid w:val="00F95BCE"/>
    <w:rsid w:val="00FB4C51"/>
    <w:rsid w:val="00FC0477"/>
    <w:rsid w:val="00FC744F"/>
    <w:rsid w:val="00FC7856"/>
    <w:rsid w:val="00FE4F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D219"/>
  <w15:chartTrackingRefBased/>
  <w15:docId w15:val="{58E70DEC-59EE-4DBE-8CA8-2239A83D0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5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5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6EF"/>
    <w:rPr>
      <w:rFonts w:eastAsiaTheme="majorEastAsia" w:cstheme="majorBidi"/>
      <w:color w:val="272727" w:themeColor="text1" w:themeTint="D8"/>
    </w:rPr>
  </w:style>
  <w:style w:type="paragraph" w:styleId="Title">
    <w:name w:val="Title"/>
    <w:basedOn w:val="Normal"/>
    <w:next w:val="Normal"/>
    <w:link w:val="TitleChar"/>
    <w:uiPriority w:val="10"/>
    <w:qFormat/>
    <w:rsid w:val="003F5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6EF"/>
    <w:pPr>
      <w:spacing w:before="160"/>
      <w:jc w:val="center"/>
    </w:pPr>
    <w:rPr>
      <w:i/>
      <w:iCs/>
      <w:color w:val="404040" w:themeColor="text1" w:themeTint="BF"/>
    </w:rPr>
  </w:style>
  <w:style w:type="character" w:customStyle="1" w:styleId="QuoteChar">
    <w:name w:val="Quote Char"/>
    <w:basedOn w:val="DefaultParagraphFont"/>
    <w:link w:val="Quote"/>
    <w:uiPriority w:val="29"/>
    <w:rsid w:val="003F56EF"/>
    <w:rPr>
      <w:i/>
      <w:iCs/>
      <w:color w:val="404040" w:themeColor="text1" w:themeTint="BF"/>
    </w:rPr>
  </w:style>
  <w:style w:type="paragraph" w:styleId="ListParagraph">
    <w:name w:val="List Paragraph"/>
    <w:basedOn w:val="Normal"/>
    <w:uiPriority w:val="34"/>
    <w:qFormat/>
    <w:rsid w:val="003F56EF"/>
    <w:pPr>
      <w:ind w:left="720"/>
      <w:contextualSpacing/>
    </w:pPr>
  </w:style>
  <w:style w:type="character" w:styleId="IntenseEmphasis">
    <w:name w:val="Intense Emphasis"/>
    <w:basedOn w:val="DefaultParagraphFont"/>
    <w:uiPriority w:val="21"/>
    <w:qFormat/>
    <w:rsid w:val="003F56EF"/>
    <w:rPr>
      <w:i/>
      <w:iCs/>
      <w:color w:val="0F4761" w:themeColor="accent1" w:themeShade="BF"/>
    </w:rPr>
  </w:style>
  <w:style w:type="paragraph" w:styleId="IntenseQuote">
    <w:name w:val="Intense Quote"/>
    <w:basedOn w:val="Normal"/>
    <w:next w:val="Normal"/>
    <w:link w:val="IntenseQuoteChar"/>
    <w:uiPriority w:val="30"/>
    <w:qFormat/>
    <w:rsid w:val="003F5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6EF"/>
    <w:rPr>
      <w:i/>
      <w:iCs/>
      <w:color w:val="0F4761" w:themeColor="accent1" w:themeShade="BF"/>
    </w:rPr>
  </w:style>
  <w:style w:type="character" w:styleId="IntenseReference">
    <w:name w:val="Intense Reference"/>
    <w:basedOn w:val="DefaultParagraphFont"/>
    <w:uiPriority w:val="32"/>
    <w:qFormat/>
    <w:rsid w:val="003F56EF"/>
    <w:rPr>
      <w:b/>
      <w:bCs/>
      <w:smallCaps/>
      <w:color w:val="0F4761" w:themeColor="accent1" w:themeShade="BF"/>
      <w:spacing w:val="5"/>
    </w:rPr>
  </w:style>
  <w:style w:type="character" w:styleId="PlaceholderText">
    <w:name w:val="Placeholder Text"/>
    <w:basedOn w:val="DefaultParagraphFont"/>
    <w:uiPriority w:val="99"/>
    <w:semiHidden/>
    <w:rsid w:val="002F7508"/>
    <w:rPr>
      <w:color w:val="666666"/>
    </w:rPr>
  </w:style>
  <w:style w:type="character" w:styleId="CommentReference">
    <w:name w:val="annotation reference"/>
    <w:basedOn w:val="DefaultParagraphFont"/>
    <w:uiPriority w:val="99"/>
    <w:semiHidden/>
    <w:unhideWhenUsed/>
    <w:rsid w:val="00C76131"/>
    <w:rPr>
      <w:sz w:val="16"/>
      <w:szCs w:val="16"/>
    </w:rPr>
  </w:style>
  <w:style w:type="paragraph" w:styleId="CommentText">
    <w:name w:val="annotation text"/>
    <w:basedOn w:val="Normal"/>
    <w:link w:val="CommentTextChar"/>
    <w:uiPriority w:val="99"/>
    <w:unhideWhenUsed/>
    <w:rsid w:val="00C76131"/>
    <w:pPr>
      <w:spacing w:line="240" w:lineRule="auto"/>
    </w:pPr>
    <w:rPr>
      <w:sz w:val="20"/>
      <w:szCs w:val="20"/>
    </w:rPr>
  </w:style>
  <w:style w:type="character" w:customStyle="1" w:styleId="CommentTextChar">
    <w:name w:val="Comment Text Char"/>
    <w:basedOn w:val="DefaultParagraphFont"/>
    <w:link w:val="CommentText"/>
    <w:uiPriority w:val="99"/>
    <w:rsid w:val="00C76131"/>
    <w:rPr>
      <w:sz w:val="20"/>
      <w:szCs w:val="20"/>
    </w:rPr>
  </w:style>
  <w:style w:type="paragraph" w:styleId="CommentSubject">
    <w:name w:val="annotation subject"/>
    <w:basedOn w:val="CommentText"/>
    <w:next w:val="CommentText"/>
    <w:link w:val="CommentSubjectChar"/>
    <w:uiPriority w:val="99"/>
    <w:semiHidden/>
    <w:unhideWhenUsed/>
    <w:rsid w:val="00C76131"/>
    <w:rPr>
      <w:b/>
      <w:bCs/>
    </w:rPr>
  </w:style>
  <w:style w:type="character" w:customStyle="1" w:styleId="CommentSubjectChar">
    <w:name w:val="Comment Subject Char"/>
    <w:basedOn w:val="CommentTextChar"/>
    <w:link w:val="CommentSubject"/>
    <w:uiPriority w:val="99"/>
    <w:semiHidden/>
    <w:rsid w:val="00C7613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8505</TotalTime>
  <Pages>3</Pages>
  <Words>642</Words>
  <Characters>4474</Characters>
  <Application>Microsoft Office Word</Application>
  <DocSecurity>0</DocSecurity>
  <Lines>99</Lines>
  <Paragraphs>55</Paragraphs>
  <ScaleCrop>false</ScaleCrop>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Kamarūte</dc:creator>
  <cp:keywords/>
  <dc:description/>
  <cp:lastModifiedBy>Ilze Kamarūte</cp:lastModifiedBy>
  <cp:revision>131</cp:revision>
  <dcterms:created xsi:type="dcterms:W3CDTF">2025-12-31T05:28:00Z</dcterms:created>
  <dcterms:modified xsi:type="dcterms:W3CDTF">2026-01-13T13:58:00Z</dcterms:modified>
</cp:coreProperties>
</file>