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20.septembra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ugunsdzēsības un glābšanas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5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7"/>
        <w:gridCol w:w="3158"/>
        <w:gridCol w:w="1549"/>
        <w:gridCol w:w="1359"/>
        <w:gridCol w:w="1265"/>
        <w:gridCol w:w="981"/>
        <w:tblGridChange w:id="0">
          <w:tblGrid>
            <w:gridCol w:w="697"/>
            <w:gridCol w:w="3158"/>
            <w:gridCol w:w="1549"/>
            <w:gridCol w:w="1359"/>
            <w:gridCol w:w="1265"/>
            <w:gridCol w:w="981"/>
          </w:tblGrid>
        </w:tblGridChange>
      </w:tblGrid>
      <w:tr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specializētā transportlīdzekļa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145,38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175,91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autokāpņu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342,71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71,97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414,68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Laivas noma ar transporta piekabi (pieejams tikai kopā ar Valsts ugunsdzēsības un glābšanas dienesta specializētā transportlīdzekļa nomu)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26,26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31,77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un izsniegšana par balss zvana vai īsziņas saņemšanu uz vienoto ārkārtas palīdzības izsaukumu numuru "112"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22,05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26,68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5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Ugunsdzēsības muzeja apmeklējums* 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individuāls apmeklējums pieaugušajam*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vai studentam (uzrādot apliecību)*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 (1–2 pieaugušajiem ar 1–2 skolas vecuma bērniem)*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Gida pakalpojumi Latvijas Ugunsdzēsības muzejā*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grupa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 filmas demonstrēšana Latvijas Ugunsdzēsības muzejā*</w:t>
            </w:r>
            <w:r w:rsidR="00000000" w:rsidRPr="00000000" w:rsidDel="00000000">
              <w:rPr>
                <w:vertAlign w:val="superscript"/>
                <w:rtl w:val="0"/>
              </w:rPr>
              <w:t xml:space="preserve">;</w:t>
            </w:r>
            <w:r w:rsidR="00000000" w:rsidRPr="00000000" w:rsidDel="00000000">
              <w:rPr>
                <w:rtl w:val="0"/>
              </w:rPr>
              <w:t xml:space="preserve"> **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seanss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52. panta pirmās daļas 17. punkta "d"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  Cena par seansu noteikta neatkarīgi no personu skaita."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noteikumu_(grozījumu)_projekts_p_22-TA-1891.docx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