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95BD6" w14:textId="77777777" w:rsidR="00CE48B3" w:rsidRPr="00315EC7" w:rsidRDefault="00CE48B3" w:rsidP="00CE48B3">
      <w:pPr>
        <w:keepNext/>
        <w:tabs>
          <w:tab w:val="left" w:pos="6521"/>
        </w:tabs>
        <w:spacing w:after="0" w:line="293" w:lineRule="atLeast"/>
        <w:jc w:val="right"/>
        <w:outlineLvl w:val="0"/>
        <w:rPr>
          <w:rFonts w:ascii="Times New Roman" w:eastAsia="Times New Roman" w:hAnsi="Times New Roman" w:cs="Times New Roman"/>
          <w:i/>
          <w:kern w:val="1"/>
          <w:sz w:val="24"/>
          <w:szCs w:val="24"/>
          <w:lang w:eastAsia="ar-SA"/>
        </w:rPr>
      </w:pPr>
      <w:r w:rsidRPr="00315EC7">
        <w:rPr>
          <w:rFonts w:ascii="Times New Roman" w:eastAsia="Times New Roman" w:hAnsi="Times New Roman" w:cs="Times New Roman"/>
          <w:kern w:val="1"/>
          <w:sz w:val="24"/>
          <w:szCs w:val="24"/>
          <w:lang w:eastAsia="ar-SA"/>
        </w:rPr>
        <w:t>Projekts</w:t>
      </w:r>
    </w:p>
    <w:p w14:paraId="07E4ED66" w14:textId="77777777" w:rsidR="00CE48B3" w:rsidRPr="00315EC7" w:rsidRDefault="00CE48B3" w:rsidP="00CE48B3">
      <w:pPr>
        <w:spacing w:after="0" w:line="293" w:lineRule="atLeast"/>
        <w:rPr>
          <w:rFonts w:ascii="Times New Roman" w:eastAsia="Times New Roman" w:hAnsi="Times New Roman" w:cs="Times New Roman"/>
          <w:kern w:val="1"/>
          <w:sz w:val="24"/>
          <w:szCs w:val="24"/>
          <w:lang w:eastAsia="ar-SA"/>
        </w:rPr>
      </w:pPr>
    </w:p>
    <w:p w14:paraId="74740E8F" w14:textId="77777777" w:rsidR="00CE48B3" w:rsidRPr="00315EC7" w:rsidRDefault="00CE48B3" w:rsidP="00CE48B3">
      <w:pPr>
        <w:keepNext/>
        <w:numPr>
          <w:ilvl w:val="1"/>
          <w:numId w:val="0"/>
        </w:numPr>
        <w:tabs>
          <w:tab w:val="num" w:pos="576"/>
          <w:tab w:val="left" w:pos="6521"/>
        </w:tabs>
        <w:spacing w:after="0" w:line="293" w:lineRule="atLeast"/>
        <w:ind w:hanging="576"/>
        <w:jc w:val="center"/>
        <w:outlineLvl w:val="1"/>
        <w:rPr>
          <w:rFonts w:ascii="Times New Roman" w:eastAsia="Times New Roman" w:hAnsi="Times New Roman" w:cs="Times New Roman"/>
          <w:kern w:val="1"/>
          <w:sz w:val="24"/>
          <w:szCs w:val="24"/>
          <w:u w:val="single"/>
          <w:lang w:eastAsia="ar-SA"/>
        </w:rPr>
      </w:pPr>
      <w:r w:rsidRPr="00315EC7">
        <w:rPr>
          <w:rFonts w:ascii="Times New Roman" w:eastAsia="Times New Roman" w:hAnsi="Times New Roman" w:cs="Times New Roman"/>
          <w:kern w:val="1"/>
          <w:sz w:val="24"/>
          <w:szCs w:val="24"/>
          <w:lang w:eastAsia="ar-SA"/>
        </w:rPr>
        <w:t>LATVIJAS REPUBLIKAS MINISTRU KABINETS</w:t>
      </w:r>
    </w:p>
    <w:p w14:paraId="235F801C" w14:textId="77777777" w:rsidR="00CE48B3" w:rsidRPr="00315EC7" w:rsidRDefault="00CE48B3" w:rsidP="00CE48B3">
      <w:pPr>
        <w:tabs>
          <w:tab w:val="left" w:pos="6521"/>
        </w:tabs>
        <w:spacing w:after="0" w:line="293" w:lineRule="atLeast"/>
        <w:jc w:val="center"/>
        <w:rPr>
          <w:rFonts w:ascii="Times New Roman" w:eastAsia="Times New Roman" w:hAnsi="Times New Roman" w:cs="Times New Roman"/>
          <w:kern w:val="1"/>
          <w:sz w:val="24"/>
          <w:szCs w:val="24"/>
          <w:u w:val="single"/>
          <w:lang w:eastAsia="ar-SA"/>
        </w:rPr>
      </w:pPr>
    </w:p>
    <w:p w14:paraId="21C264E7" w14:textId="77777777" w:rsidR="00CE48B3" w:rsidRPr="00315EC7" w:rsidRDefault="00CE48B3" w:rsidP="00CE48B3">
      <w:pPr>
        <w:tabs>
          <w:tab w:val="left" w:pos="5760"/>
          <w:tab w:val="left" w:pos="6521"/>
        </w:tabs>
        <w:spacing w:after="0" w:line="293" w:lineRule="atLeast"/>
        <w:jc w:val="both"/>
        <w:rPr>
          <w:rFonts w:ascii="Times New Roman" w:eastAsia="Times New Roman" w:hAnsi="Times New Roman" w:cs="Times New Roman"/>
          <w:kern w:val="1"/>
          <w:sz w:val="24"/>
          <w:szCs w:val="24"/>
          <w:lang w:eastAsia="ar-SA"/>
        </w:rPr>
      </w:pPr>
      <w:r w:rsidRPr="00315EC7">
        <w:rPr>
          <w:rFonts w:ascii="Times New Roman" w:eastAsia="Times New Roman" w:hAnsi="Times New Roman" w:cs="Times New Roman"/>
          <w:kern w:val="1"/>
          <w:sz w:val="24"/>
          <w:szCs w:val="24"/>
          <w:lang w:eastAsia="ar-SA"/>
        </w:rPr>
        <w:t xml:space="preserve">2022. gada ____.______________       </w:t>
      </w:r>
      <w:r w:rsidRPr="00315EC7">
        <w:rPr>
          <w:rFonts w:ascii="Times New Roman" w:eastAsia="Times New Roman" w:hAnsi="Times New Roman" w:cs="Times New Roman"/>
          <w:kern w:val="1"/>
          <w:sz w:val="24"/>
          <w:szCs w:val="24"/>
          <w:lang w:eastAsia="ar-SA"/>
        </w:rPr>
        <w:tab/>
        <w:t xml:space="preserve">     Noteikumi Nr.____  </w:t>
      </w:r>
    </w:p>
    <w:p w14:paraId="39A5A445" w14:textId="77777777" w:rsidR="00CE48B3" w:rsidRPr="00315EC7" w:rsidRDefault="00CE48B3" w:rsidP="00CE48B3">
      <w:pPr>
        <w:tabs>
          <w:tab w:val="left" w:pos="5760"/>
          <w:tab w:val="left" w:pos="6521"/>
        </w:tabs>
        <w:spacing w:after="0" w:line="293" w:lineRule="atLeast"/>
        <w:jc w:val="both"/>
        <w:rPr>
          <w:rFonts w:ascii="Times New Roman" w:eastAsia="Times New Roman" w:hAnsi="Times New Roman" w:cs="Times New Roman"/>
          <w:kern w:val="1"/>
          <w:sz w:val="24"/>
          <w:szCs w:val="24"/>
          <w:lang w:eastAsia="ar-SA"/>
        </w:rPr>
      </w:pPr>
      <w:r w:rsidRPr="00315EC7">
        <w:rPr>
          <w:rFonts w:ascii="Times New Roman" w:eastAsia="Times New Roman" w:hAnsi="Times New Roman" w:cs="Times New Roman"/>
          <w:kern w:val="1"/>
          <w:sz w:val="24"/>
          <w:szCs w:val="24"/>
          <w:lang w:eastAsia="ar-SA"/>
        </w:rPr>
        <w:t>Rīgā</w:t>
      </w:r>
      <w:r w:rsidRPr="00315EC7">
        <w:rPr>
          <w:rFonts w:ascii="Times New Roman" w:eastAsia="Times New Roman" w:hAnsi="Times New Roman" w:cs="Times New Roman"/>
          <w:kern w:val="1"/>
          <w:sz w:val="24"/>
          <w:szCs w:val="24"/>
          <w:lang w:eastAsia="ar-SA"/>
        </w:rPr>
        <w:tab/>
        <w:t xml:space="preserve">     (prot. Nr.___.____ .§)</w:t>
      </w:r>
    </w:p>
    <w:p w14:paraId="229BC74E" w14:textId="77777777" w:rsidR="00CE48B3" w:rsidRPr="00315EC7" w:rsidRDefault="00CE48B3" w:rsidP="00CE48B3">
      <w:pPr>
        <w:spacing w:after="0" w:line="293" w:lineRule="atLeast"/>
        <w:rPr>
          <w:rFonts w:ascii="Times New Roman" w:eastAsia="Times New Roman" w:hAnsi="Times New Roman" w:cs="Times New Roman"/>
          <w:kern w:val="1"/>
          <w:sz w:val="24"/>
          <w:szCs w:val="24"/>
          <w:highlight w:val="yellow"/>
          <w:lang w:eastAsia="ar-SA"/>
        </w:rPr>
      </w:pPr>
    </w:p>
    <w:p w14:paraId="4D39C5D0" w14:textId="77777777" w:rsidR="00CE48B3" w:rsidRPr="00315EC7" w:rsidRDefault="00CE48B3" w:rsidP="00CE48B3">
      <w:pPr>
        <w:spacing w:after="0" w:line="293" w:lineRule="atLeast"/>
        <w:rPr>
          <w:rFonts w:ascii="Times New Roman" w:eastAsia="Times New Roman" w:hAnsi="Times New Roman" w:cs="Times New Roman"/>
          <w:kern w:val="1"/>
          <w:sz w:val="24"/>
          <w:szCs w:val="24"/>
          <w:highlight w:val="yellow"/>
          <w:lang w:eastAsia="ar-SA"/>
        </w:rPr>
      </w:pPr>
    </w:p>
    <w:p w14:paraId="3C66AB88" w14:textId="77777777" w:rsidR="00CE48B3" w:rsidRPr="00315EC7" w:rsidRDefault="00CE48B3" w:rsidP="00CE48B3">
      <w:pPr>
        <w:spacing w:after="0" w:line="293" w:lineRule="atLeast"/>
        <w:rPr>
          <w:rFonts w:ascii="Times New Roman" w:eastAsia="Times New Roman" w:hAnsi="Times New Roman" w:cs="Times New Roman"/>
          <w:kern w:val="1"/>
          <w:sz w:val="24"/>
          <w:szCs w:val="24"/>
          <w:highlight w:val="yellow"/>
          <w:lang w:eastAsia="ar-SA"/>
        </w:rPr>
      </w:pPr>
    </w:p>
    <w:p w14:paraId="49CF5A9F" w14:textId="39BEF9A6" w:rsidR="00CE48B3" w:rsidRPr="00315EC7" w:rsidRDefault="00CE48B3" w:rsidP="00CE48B3">
      <w:pPr>
        <w:shd w:val="clear" w:color="auto" w:fill="FFFFFF"/>
        <w:spacing w:before="45" w:after="0" w:line="248" w:lineRule="atLeast"/>
        <w:jc w:val="center"/>
        <w:rPr>
          <w:rFonts w:ascii="Times New Roman" w:eastAsia="Times New Roman" w:hAnsi="Times New Roman" w:cs="Times New Roman"/>
          <w:b/>
          <w:bCs/>
          <w:sz w:val="24"/>
          <w:szCs w:val="24"/>
          <w:lang w:eastAsia="lv-LV"/>
        </w:rPr>
      </w:pPr>
      <w:r w:rsidRPr="00315EC7">
        <w:rPr>
          <w:rFonts w:ascii="Times New Roman" w:eastAsia="Times New Roman" w:hAnsi="Times New Roman" w:cs="Times New Roman"/>
          <w:b/>
          <w:iCs/>
          <w:sz w:val="24"/>
          <w:szCs w:val="24"/>
          <w:lang w:eastAsia="lv-LV"/>
        </w:rPr>
        <w:t>“Grozījumi Ministru kabineta 2017. gada 20. jūnija noteikumos Nr. 353 “</w:t>
      </w:r>
      <w:bookmarkStart w:id="0" w:name="_Hlk40710536"/>
      <w:r w:rsidRPr="00315EC7">
        <w:rPr>
          <w:rFonts w:ascii="Times New Roman" w:eastAsia="Times New Roman" w:hAnsi="Times New Roman" w:cs="Times New Roman"/>
          <w:b/>
          <w:iCs/>
          <w:sz w:val="24"/>
          <w:szCs w:val="24"/>
          <w:lang w:eastAsia="lv-LV"/>
        </w:rPr>
        <w:t>Prasības zaļajam publiskajam iepirkumam un to piemērošanas kārtība</w:t>
      </w:r>
      <w:bookmarkEnd w:id="0"/>
      <w:r w:rsidRPr="00315EC7">
        <w:rPr>
          <w:rFonts w:ascii="Times New Roman" w:eastAsia="Times New Roman" w:hAnsi="Times New Roman" w:cs="Times New Roman"/>
          <w:b/>
          <w:iCs/>
          <w:sz w:val="24"/>
          <w:szCs w:val="24"/>
          <w:lang w:eastAsia="lv-LV"/>
        </w:rPr>
        <w:t xml:space="preserve"> </w:t>
      </w:r>
      <w:r w:rsidRPr="00315EC7">
        <w:rPr>
          <w:rFonts w:ascii="Times New Roman" w:eastAsia="Times New Roman" w:hAnsi="Times New Roman" w:cs="Times New Roman"/>
          <w:b/>
          <w:bCs/>
          <w:sz w:val="24"/>
          <w:szCs w:val="24"/>
          <w:lang w:eastAsia="lv-LV"/>
        </w:rPr>
        <w:t xml:space="preserve">” </w:t>
      </w:r>
    </w:p>
    <w:p w14:paraId="32D453EA" w14:textId="77777777" w:rsidR="00CE48B3" w:rsidRPr="00315EC7" w:rsidRDefault="00CE48B3" w:rsidP="00CE48B3">
      <w:pPr>
        <w:spacing w:after="0" w:line="293" w:lineRule="atLeast"/>
        <w:jc w:val="center"/>
        <w:rPr>
          <w:rFonts w:ascii="Times New Roman" w:eastAsia="Times New Roman" w:hAnsi="Times New Roman" w:cs="Times New Roman"/>
          <w:iCs/>
          <w:kern w:val="1"/>
          <w:sz w:val="24"/>
          <w:szCs w:val="24"/>
          <w:highlight w:val="yellow"/>
          <w:lang w:eastAsia="ar-SA"/>
        </w:rPr>
      </w:pPr>
    </w:p>
    <w:p w14:paraId="16A3FCCB" w14:textId="77777777" w:rsidR="00CE48B3" w:rsidRPr="00315EC7" w:rsidRDefault="00CE48B3" w:rsidP="00CE48B3">
      <w:pPr>
        <w:spacing w:after="0" w:line="293" w:lineRule="atLeast"/>
        <w:jc w:val="center"/>
        <w:rPr>
          <w:rFonts w:ascii="Times New Roman" w:eastAsia="Times New Roman" w:hAnsi="Times New Roman" w:cs="Times New Roman"/>
          <w:iCs/>
          <w:kern w:val="1"/>
          <w:sz w:val="24"/>
          <w:szCs w:val="24"/>
          <w:highlight w:val="yellow"/>
          <w:lang w:eastAsia="ar-SA"/>
        </w:rPr>
      </w:pPr>
    </w:p>
    <w:p w14:paraId="2C25C7D9" w14:textId="77777777" w:rsidR="00CE48B3" w:rsidRPr="00315EC7" w:rsidRDefault="00CE48B3" w:rsidP="00CE48B3">
      <w:pPr>
        <w:spacing w:after="0" w:line="293" w:lineRule="atLeast"/>
        <w:jc w:val="right"/>
        <w:rPr>
          <w:rFonts w:ascii="Times New Roman" w:eastAsia="Times New Roman" w:hAnsi="Times New Roman" w:cs="Times New Roman"/>
          <w:sz w:val="24"/>
          <w:szCs w:val="24"/>
          <w:lang w:eastAsia="lv-LV"/>
        </w:rPr>
      </w:pPr>
      <w:r w:rsidRPr="00315EC7">
        <w:rPr>
          <w:rFonts w:ascii="Times New Roman" w:eastAsia="Times New Roman" w:hAnsi="Times New Roman" w:cs="Times New Roman"/>
          <w:kern w:val="1"/>
          <w:sz w:val="24"/>
          <w:szCs w:val="24"/>
          <w:lang w:eastAsia="ar-SA"/>
        </w:rPr>
        <w:t>Izdoti saskaņā ar Publisko iepirkumu likuma</w:t>
      </w:r>
      <w:r w:rsidRPr="00315EC7">
        <w:rPr>
          <w:rFonts w:ascii="Times New Roman" w:eastAsia="Times New Roman" w:hAnsi="Times New Roman" w:cs="Times New Roman"/>
          <w:kern w:val="1"/>
          <w:sz w:val="24"/>
          <w:szCs w:val="24"/>
          <w:lang w:eastAsia="ar-SA"/>
        </w:rPr>
        <w:br/>
        <w:t>19. panta otro daļu</w:t>
      </w:r>
      <w:r w:rsidRPr="00315EC7">
        <w:rPr>
          <w:rFonts w:ascii="Times New Roman" w:eastAsia="Times New Roman" w:hAnsi="Times New Roman" w:cs="Times New Roman"/>
          <w:kern w:val="1"/>
          <w:sz w:val="24"/>
          <w:szCs w:val="24"/>
          <w:lang w:eastAsia="ar-SA"/>
        </w:rPr>
        <w:br/>
        <w:t>un Sabiedrisko pakalpojumu sniedzēju iepirkumu likuma</w:t>
      </w:r>
      <w:r w:rsidRPr="00315EC7">
        <w:rPr>
          <w:rFonts w:ascii="Times New Roman" w:eastAsia="Times New Roman" w:hAnsi="Times New Roman" w:cs="Times New Roman"/>
          <w:kern w:val="1"/>
          <w:sz w:val="24"/>
          <w:szCs w:val="24"/>
          <w:lang w:eastAsia="ar-SA"/>
        </w:rPr>
        <w:br/>
        <w:t>28. panta otro daļu</w:t>
      </w:r>
    </w:p>
    <w:p w14:paraId="407089FA" w14:textId="77777777" w:rsidR="00CE48B3" w:rsidRPr="00315EC7" w:rsidRDefault="00CE48B3" w:rsidP="00CE48B3">
      <w:pPr>
        <w:spacing w:after="0" w:line="293" w:lineRule="atLeast"/>
        <w:jc w:val="right"/>
        <w:rPr>
          <w:rFonts w:ascii="Times New Roman" w:eastAsia="Times New Roman" w:hAnsi="Times New Roman" w:cs="Times New Roman"/>
          <w:kern w:val="1"/>
          <w:sz w:val="24"/>
          <w:szCs w:val="24"/>
          <w:highlight w:val="yellow"/>
          <w:lang w:eastAsia="ar-SA"/>
        </w:rPr>
      </w:pPr>
    </w:p>
    <w:p w14:paraId="386A13DD" w14:textId="77777777" w:rsidR="00CE48B3" w:rsidRPr="00315EC7" w:rsidRDefault="00CE48B3" w:rsidP="00CE48B3">
      <w:pPr>
        <w:spacing w:after="0" w:line="293" w:lineRule="atLeast"/>
        <w:jc w:val="both"/>
        <w:rPr>
          <w:rFonts w:ascii="Times New Roman" w:eastAsia="Times New Roman" w:hAnsi="Times New Roman" w:cs="Times New Roman"/>
          <w:kern w:val="16"/>
          <w:sz w:val="24"/>
          <w:szCs w:val="24"/>
          <w:highlight w:val="yellow"/>
          <w:lang w:eastAsia="ar-SA"/>
        </w:rPr>
      </w:pPr>
    </w:p>
    <w:p w14:paraId="5888C92B" w14:textId="08630253" w:rsidR="00CE48B3" w:rsidRPr="00315EC7" w:rsidRDefault="00CE48B3" w:rsidP="00CE48B3">
      <w:pPr>
        <w:spacing w:after="0" w:line="293" w:lineRule="atLeast"/>
        <w:jc w:val="both"/>
        <w:rPr>
          <w:rFonts w:ascii="Times New Roman" w:eastAsia="Times New Roman" w:hAnsi="Times New Roman" w:cs="Times New Roman"/>
          <w:kern w:val="16"/>
          <w:sz w:val="24"/>
          <w:szCs w:val="24"/>
          <w:lang w:eastAsia="ar-SA"/>
        </w:rPr>
      </w:pPr>
      <w:r w:rsidRPr="00315EC7">
        <w:rPr>
          <w:rFonts w:ascii="Times New Roman" w:eastAsia="Times New Roman" w:hAnsi="Times New Roman" w:cs="Times New Roman"/>
          <w:kern w:val="16"/>
          <w:sz w:val="24"/>
          <w:szCs w:val="24"/>
          <w:lang w:eastAsia="ar-SA"/>
        </w:rPr>
        <w:t xml:space="preserve">Izdarīt Ministru kabineta 2017. gada 20. jūnija noteikumos Nr. 353 “Prasības zaļajam publiskajam iepirkumam un to piemērošanas kārtība” </w:t>
      </w:r>
      <w:r w:rsidR="00CD0089" w:rsidRPr="00315EC7">
        <w:rPr>
          <w:rFonts w:ascii="Times New Roman" w:eastAsia="Times New Roman" w:hAnsi="Times New Roman" w:cs="Times New Roman"/>
          <w:kern w:val="16"/>
          <w:sz w:val="24"/>
          <w:szCs w:val="24"/>
          <w:lang w:eastAsia="ar-SA"/>
        </w:rPr>
        <w:t>šādus grozījumus</w:t>
      </w:r>
      <w:r w:rsidRPr="00315EC7">
        <w:rPr>
          <w:rFonts w:ascii="Times New Roman" w:eastAsia="Times New Roman" w:hAnsi="Times New Roman" w:cs="Times New Roman"/>
          <w:kern w:val="16"/>
          <w:sz w:val="24"/>
          <w:szCs w:val="24"/>
          <w:lang w:eastAsia="ar-SA"/>
        </w:rPr>
        <w:t>:</w:t>
      </w:r>
    </w:p>
    <w:p w14:paraId="01C9ED60" w14:textId="79A71339" w:rsidR="00583549" w:rsidRPr="00315EC7" w:rsidRDefault="00583549" w:rsidP="00583549">
      <w:pPr>
        <w:pStyle w:val="ListParagraph"/>
        <w:numPr>
          <w:ilvl w:val="0"/>
          <w:numId w:val="1"/>
        </w:numPr>
        <w:spacing w:after="0" w:line="293" w:lineRule="atLeast"/>
        <w:jc w:val="both"/>
        <w:rPr>
          <w:rFonts w:ascii="Times New Roman" w:eastAsia="Times New Roman" w:hAnsi="Times New Roman" w:cs="Times New Roman"/>
          <w:kern w:val="16"/>
          <w:sz w:val="24"/>
          <w:szCs w:val="24"/>
          <w:lang w:eastAsia="ar-SA"/>
        </w:rPr>
      </w:pPr>
      <w:r w:rsidRPr="00315EC7">
        <w:rPr>
          <w:rFonts w:ascii="Times New Roman" w:eastAsia="Times New Roman" w:hAnsi="Times New Roman" w:cs="Times New Roman"/>
          <w:kern w:val="16"/>
          <w:sz w:val="24"/>
          <w:szCs w:val="24"/>
          <w:lang w:eastAsia="ar-SA"/>
        </w:rPr>
        <w:t xml:space="preserve">Papildināt 1. pielikuma </w:t>
      </w:r>
      <w:r w:rsidRPr="00315EC7">
        <w:rPr>
          <w:rFonts w:ascii="Times New Roman" w:eastAsia="Times New Roman" w:hAnsi="Times New Roman" w:cs="Times New Roman"/>
          <w:kern w:val="16"/>
          <w:sz w:val="24"/>
          <w:szCs w:val="24"/>
          <w:lang w:eastAsia="ar-SA"/>
        </w:rPr>
        <w:t>Preču un pakalpojumu grupas, kurām obligāti piemērojams zaļais publiskais iepirkums. (ZPI)</w:t>
      </w:r>
      <w:r w:rsidRPr="00315EC7">
        <w:rPr>
          <w:rFonts w:ascii="Times New Roman" w:eastAsia="Times New Roman" w:hAnsi="Times New Roman" w:cs="Times New Roman"/>
          <w:kern w:val="16"/>
          <w:sz w:val="24"/>
          <w:szCs w:val="24"/>
          <w:lang w:eastAsia="ar-SA"/>
        </w:rPr>
        <w:t xml:space="preserve"> ar 8. un 9. punktu: “</w:t>
      </w:r>
      <w:r w:rsidRPr="00315EC7">
        <w:rPr>
          <w:rFonts w:ascii="Times New Roman" w:eastAsia="Times New Roman" w:hAnsi="Times New Roman" w:cs="Times New Roman"/>
          <w:kern w:val="16"/>
          <w:sz w:val="24"/>
          <w:szCs w:val="24"/>
          <w:lang w:eastAsia="ar-SA"/>
        </w:rPr>
        <w:t>8. Trešās grupas ēku jauna būvniecība,  pārbūve, projektēšana un nojaukšana</w:t>
      </w:r>
    </w:p>
    <w:p w14:paraId="595CD0AA" w14:textId="7DD5A303" w:rsidR="00583549" w:rsidRPr="00315EC7" w:rsidRDefault="00583549" w:rsidP="00E6436E">
      <w:pPr>
        <w:pStyle w:val="ListParagraph"/>
        <w:spacing w:after="0" w:line="293" w:lineRule="atLeast"/>
        <w:ind w:left="928"/>
        <w:jc w:val="both"/>
        <w:rPr>
          <w:rFonts w:ascii="Times New Roman" w:eastAsia="Times New Roman" w:hAnsi="Times New Roman" w:cs="Times New Roman"/>
          <w:kern w:val="16"/>
          <w:sz w:val="24"/>
          <w:szCs w:val="24"/>
          <w:lang w:eastAsia="ar-SA"/>
        </w:rPr>
      </w:pPr>
      <w:r w:rsidRPr="00315EC7">
        <w:rPr>
          <w:rFonts w:ascii="Times New Roman" w:eastAsia="Times New Roman" w:hAnsi="Times New Roman" w:cs="Times New Roman"/>
          <w:kern w:val="16"/>
          <w:sz w:val="24"/>
          <w:szCs w:val="24"/>
          <w:lang w:eastAsia="ar-SA"/>
        </w:rPr>
        <w:t>9. Vieglo pasažieru automobiļu un vieglo komerctransporta automobiļu iegāde.</w:t>
      </w:r>
      <w:r w:rsidRPr="00315EC7">
        <w:rPr>
          <w:rFonts w:ascii="Times New Roman" w:eastAsia="Times New Roman" w:hAnsi="Times New Roman" w:cs="Times New Roman"/>
          <w:kern w:val="16"/>
          <w:sz w:val="24"/>
          <w:szCs w:val="24"/>
          <w:lang w:eastAsia="ar-SA"/>
        </w:rPr>
        <w:t>”</w:t>
      </w:r>
    </w:p>
    <w:p w14:paraId="25A360BF" w14:textId="1A4DE5A5" w:rsidR="00856DB7" w:rsidRPr="00315EC7" w:rsidRDefault="00856DB7" w:rsidP="00D61CD7">
      <w:pPr>
        <w:pStyle w:val="ListParagraph"/>
        <w:numPr>
          <w:ilvl w:val="0"/>
          <w:numId w:val="1"/>
        </w:numPr>
        <w:jc w:val="both"/>
        <w:rPr>
          <w:rFonts w:ascii="Times New Roman" w:hAnsi="Times New Roman" w:cs="Times New Roman"/>
          <w:sz w:val="24"/>
          <w:szCs w:val="24"/>
        </w:rPr>
      </w:pPr>
      <w:r w:rsidRPr="00315EC7">
        <w:rPr>
          <w:rFonts w:ascii="Times New Roman" w:hAnsi="Times New Roman" w:cs="Times New Roman"/>
          <w:sz w:val="24"/>
          <w:szCs w:val="24"/>
        </w:rPr>
        <w:t xml:space="preserve">Papildināt Noteikumu 1. pielikumā 4. sadaļas aprakstoši tvērumu šādā redakcijā: </w:t>
      </w:r>
    </w:p>
    <w:p w14:paraId="40AD6795" w14:textId="6CC0FACF" w:rsidR="00856DB7" w:rsidRPr="00315EC7" w:rsidRDefault="00856DB7" w:rsidP="00D61CD7">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w:t>
      </w:r>
      <w:r w:rsidR="00B11DB6" w:rsidRPr="00B11DB6">
        <w:rPr>
          <w:rFonts w:ascii="Times New Roman" w:eastAsia="Times New Roman" w:hAnsi="Times New Roman" w:cs="Times New Roman"/>
          <w:sz w:val="24"/>
          <w:szCs w:val="24"/>
          <w:lang w:eastAsia="ja-JP"/>
        </w:rPr>
        <w:t>ZPI prasības un kritēriji ir noteikti pārtikas produktu piegādēm un ēdināšanas pakalpojumiem. ZPI kritērijus piemēro brīvprātīgi augļiem, ogām un dārzeņiem, kas nav iekļauti Zemkopības ministrijas izstrādātajos vietējo augļu, ogu un dārzeņu sezonalitātes kalendāros (pieejami Iepirkumu uzraudzības biroja mājas lapā), kā arī  pārtikas produktiem, tostarp,  saldētai produkcijai, kuri netiek audzēti vai ražoti Latvijā.</w:t>
      </w:r>
      <w:r w:rsidRPr="00315EC7">
        <w:rPr>
          <w:rFonts w:ascii="Times New Roman" w:hAnsi="Times New Roman" w:cs="Times New Roman"/>
          <w:sz w:val="24"/>
          <w:szCs w:val="24"/>
        </w:rPr>
        <w:t>”</w:t>
      </w:r>
    </w:p>
    <w:p w14:paraId="1616E525" w14:textId="6929568E" w:rsidR="00147B0B" w:rsidRPr="00315EC7" w:rsidRDefault="00856DB7" w:rsidP="00D61CD7">
      <w:pPr>
        <w:pStyle w:val="ListParagraph"/>
        <w:numPr>
          <w:ilvl w:val="0"/>
          <w:numId w:val="1"/>
        </w:numPr>
        <w:suppressAutoHyphens/>
        <w:autoSpaceDN w:val="0"/>
        <w:spacing w:before="120" w:after="120"/>
        <w:jc w:val="both"/>
        <w:textAlignment w:val="baseline"/>
        <w:rPr>
          <w:rFonts w:ascii="Times New Roman" w:hAnsi="Times New Roman" w:cs="Times New Roman"/>
          <w:sz w:val="24"/>
          <w:szCs w:val="24"/>
          <w:lang w:eastAsia="ja-JP"/>
        </w:rPr>
      </w:pPr>
      <w:r w:rsidRPr="00315EC7">
        <w:rPr>
          <w:rFonts w:ascii="Times New Roman" w:hAnsi="Times New Roman" w:cs="Times New Roman"/>
          <w:sz w:val="24"/>
          <w:szCs w:val="24"/>
        </w:rPr>
        <w:t>Noteikumu 1. pielikuma 4. sadaļu 4.1.</w:t>
      </w:r>
      <w:r w:rsidR="002F6EB1" w:rsidRPr="00315EC7">
        <w:rPr>
          <w:rFonts w:ascii="Times New Roman" w:hAnsi="Times New Roman" w:cs="Times New Roman"/>
          <w:sz w:val="24"/>
          <w:szCs w:val="24"/>
        </w:rPr>
        <w:t xml:space="preserve"> un 4.2.</w:t>
      </w:r>
      <w:r w:rsidRPr="00315EC7">
        <w:rPr>
          <w:rFonts w:ascii="Times New Roman" w:hAnsi="Times New Roman" w:cs="Times New Roman"/>
          <w:sz w:val="24"/>
          <w:szCs w:val="24"/>
        </w:rPr>
        <w:t xml:space="preserve"> </w:t>
      </w:r>
      <w:r w:rsidR="003956EF" w:rsidRPr="00315EC7">
        <w:rPr>
          <w:rFonts w:ascii="Times New Roman" w:hAnsi="Times New Roman" w:cs="Times New Roman"/>
          <w:sz w:val="24"/>
          <w:szCs w:val="24"/>
        </w:rPr>
        <w:t>Tehniskā specif</w:t>
      </w:r>
      <w:r w:rsidR="006F3AAC" w:rsidRPr="00315EC7">
        <w:rPr>
          <w:rFonts w:ascii="Times New Roman" w:hAnsi="Times New Roman" w:cs="Times New Roman"/>
          <w:sz w:val="24"/>
          <w:szCs w:val="24"/>
        </w:rPr>
        <w:t>i</w:t>
      </w:r>
      <w:r w:rsidR="003956EF" w:rsidRPr="00315EC7">
        <w:rPr>
          <w:rFonts w:ascii="Times New Roman" w:hAnsi="Times New Roman" w:cs="Times New Roman"/>
          <w:sz w:val="24"/>
          <w:szCs w:val="24"/>
        </w:rPr>
        <w:t xml:space="preserve">kācija </w:t>
      </w:r>
      <w:r w:rsidRPr="00315EC7">
        <w:rPr>
          <w:rFonts w:ascii="Times New Roman" w:hAnsi="Times New Roman" w:cs="Times New Roman"/>
          <w:sz w:val="24"/>
          <w:szCs w:val="24"/>
        </w:rPr>
        <w:t xml:space="preserve">1.1.1.a. punktu izsakot to šādā redakcijā: </w:t>
      </w:r>
      <w:r w:rsidR="00FB0152" w:rsidRPr="00315EC7">
        <w:rPr>
          <w:rFonts w:ascii="Times New Roman" w:hAnsi="Times New Roman" w:cs="Times New Roman"/>
          <w:sz w:val="24"/>
          <w:szCs w:val="24"/>
          <w:lang w:eastAsia="ja-JP"/>
        </w:rPr>
        <w:t>“</w:t>
      </w:r>
      <w:r w:rsidRPr="00315EC7">
        <w:rPr>
          <w:rFonts w:ascii="Times New Roman" w:hAnsi="Times New Roman" w:cs="Times New Roman"/>
          <w:sz w:val="24"/>
          <w:szCs w:val="24"/>
          <w:lang w:eastAsia="ja-JP"/>
        </w:rPr>
        <w:t>Iegādājoties pienu un kefīru vismaz 50 procentiem no visas piena un kefīra masas vai vērtības jābūt ražotiem atbilstoši bioloģiskās lauksaimniecības metodēm saskaņā ar Padomes 2007. gada 28. jūnija Regulu (EK) Nr.834/2007 par bioloģisko ražošanu un bioloģisko produktu marķēšanu un par Regulas (EEK) Nr.2092/91 atcelšanu;</w:t>
      </w:r>
    </w:p>
    <w:p w14:paraId="58CA1790" w14:textId="7D3FDD3A" w:rsidR="00856DB7" w:rsidRPr="00315EC7" w:rsidRDefault="00856DB7" w:rsidP="00D1777C">
      <w:pPr>
        <w:pStyle w:val="ListParagraph"/>
        <w:suppressAutoHyphens/>
        <w:autoSpaceDN w:val="0"/>
        <w:spacing w:before="120" w:after="120"/>
        <w:ind w:left="928"/>
        <w:jc w:val="both"/>
        <w:textAlignment w:val="baseline"/>
        <w:rPr>
          <w:rFonts w:ascii="Times New Roman" w:hAnsi="Times New Roman" w:cs="Times New Roman"/>
          <w:sz w:val="24"/>
          <w:szCs w:val="24"/>
          <w:lang w:eastAsia="ja-JP"/>
        </w:rPr>
      </w:pPr>
      <w:r w:rsidRPr="00315EC7">
        <w:rPr>
          <w:rFonts w:ascii="Times New Roman" w:hAnsi="Times New Roman" w:cs="Times New Roman"/>
          <w:sz w:val="24"/>
          <w:szCs w:val="24"/>
          <w:lang w:eastAsia="ja-JP"/>
        </w:rPr>
        <w:t>Iegādājoties graudaugu pārstrādes produktus  (piemēram, auzu pārslas, kviešu milti, griķi) vismaz 20 procentiem no graudaugu pārstrādes produktu masas vai vērtības jābūt ražotiem atbilstoši bioloģiskās lauksaimniecības metodēm saskaņā ar Padomes 2007. gada 28. jūnija Regulu (EK) Nr.834/2007 par bioloģisko ražošanu un bioloģisko produktu marķēšanu un par Regulas (EEK) Nr.2092/91 atcelšanu;</w:t>
      </w:r>
    </w:p>
    <w:p w14:paraId="583FCB5F" w14:textId="21043709" w:rsidR="00923629" w:rsidRPr="00315EC7" w:rsidRDefault="00E6748F" w:rsidP="00D1777C">
      <w:pPr>
        <w:suppressAutoHyphens/>
        <w:autoSpaceDN w:val="0"/>
        <w:spacing w:before="120" w:after="120"/>
        <w:ind w:left="208" w:firstLine="720"/>
        <w:jc w:val="both"/>
        <w:textAlignment w:val="baseline"/>
        <w:rPr>
          <w:rFonts w:ascii="Times New Roman" w:hAnsi="Times New Roman" w:cs="Times New Roman"/>
          <w:sz w:val="24"/>
          <w:szCs w:val="24"/>
        </w:rPr>
      </w:pPr>
      <w:r w:rsidRPr="00315EC7">
        <w:rPr>
          <w:rFonts w:ascii="Times New Roman" w:hAnsi="Times New Roman" w:cs="Times New Roman"/>
          <w:sz w:val="24"/>
          <w:szCs w:val="24"/>
          <w:lang w:eastAsia="ja-JP"/>
        </w:rPr>
        <w:lastRenderedPageBreak/>
        <w:t>u</w:t>
      </w:r>
      <w:r w:rsidR="00856DB7" w:rsidRPr="00315EC7">
        <w:rPr>
          <w:rFonts w:ascii="Times New Roman" w:hAnsi="Times New Roman" w:cs="Times New Roman"/>
          <w:sz w:val="24"/>
          <w:szCs w:val="24"/>
          <w:lang w:eastAsia="ja-JP"/>
        </w:rPr>
        <w:t>n</w:t>
      </w:r>
      <w:r w:rsidRPr="00315EC7">
        <w:rPr>
          <w:rFonts w:ascii="Times New Roman" w:hAnsi="Times New Roman" w:cs="Times New Roman"/>
          <w:sz w:val="24"/>
          <w:szCs w:val="24"/>
          <w:lang w:eastAsia="ja-JP"/>
        </w:rPr>
        <w:t>”</w:t>
      </w:r>
    </w:p>
    <w:p w14:paraId="6ABF0D61" w14:textId="6299A42D" w:rsidR="00405D73" w:rsidRPr="00315EC7" w:rsidRDefault="00B3102C" w:rsidP="00491C2C">
      <w:pPr>
        <w:pStyle w:val="ListParagraph"/>
        <w:numPr>
          <w:ilvl w:val="0"/>
          <w:numId w:val="1"/>
        </w:numPr>
        <w:jc w:val="both"/>
        <w:rPr>
          <w:rFonts w:ascii="Times New Roman" w:hAnsi="Times New Roman" w:cs="Times New Roman"/>
          <w:sz w:val="24"/>
          <w:szCs w:val="24"/>
        </w:rPr>
      </w:pPr>
      <w:r w:rsidRPr="00315EC7">
        <w:rPr>
          <w:rFonts w:ascii="Times New Roman" w:hAnsi="Times New Roman" w:cs="Times New Roman"/>
          <w:sz w:val="24"/>
          <w:szCs w:val="24"/>
        </w:rPr>
        <w:t xml:space="preserve">Papildināt Noteikumu 1. pielikuma 4.1. </w:t>
      </w:r>
      <w:r w:rsidR="006A43C1" w:rsidRPr="00315EC7">
        <w:rPr>
          <w:rFonts w:ascii="Times New Roman" w:hAnsi="Times New Roman" w:cs="Times New Roman"/>
          <w:sz w:val="24"/>
          <w:szCs w:val="24"/>
        </w:rPr>
        <w:t xml:space="preserve">un 4.2. </w:t>
      </w:r>
      <w:r w:rsidRPr="00315EC7">
        <w:rPr>
          <w:rFonts w:ascii="Times New Roman" w:hAnsi="Times New Roman" w:cs="Times New Roman"/>
          <w:sz w:val="24"/>
          <w:szCs w:val="24"/>
        </w:rPr>
        <w:t xml:space="preserve">sadaļu </w:t>
      </w:r>
      <w:r w:rsidR="009F27FF" w:rsidRPr="00315EC7">
        <w:rPr>
          <w:rFonts w:ascii="Times New Roman" w:hAnsi="Times New Roman" w:cs="Times New Roman"/>
          <w:sz w:val="24"/>
          <w:szCs w:val="24"/>
        </w:rPr>
        <w:t xml:space="preserve">Tehniskā specifikācija </w:t>
      </w:r>
      <w:r w:rsidRPr="00315EC7">
        <w:rPr>
          <w:rFonts w:ascii="Times New Roman" w:hAnsi="Times New Roman" w:cs="Times New Roman"/>
          <w:sz w:val="24"/>
          <w:szCs w:val="24"/>
        </w:rPr>
        <w:t>1.1. punktu ar šādu redakciju: “</w:t>
      </w:r>
      <w:r w:rsidR="005D1DBF" w:rsidRPr="00315EC7">
        <w:rPr>
          <w:rFonts w:ascii="Times New Roman" w:hAnsi="Times New Roman" w:cs="Times New Roman"/>
          <w:sz w:val="24"/>
          <w:szCs w:val="24"/>
        </w:rPr>
        <w:t>Ja pasūtītājs izvēlas iepirkt 100% bioloģiskos produktus, tad nav nepieciešams iekļaut vēl papildus kritērijus no 1.1.punkta.</w:t>
      </w:r>
      <w:r w:rsidRPr="00315EC7">
        <w:rPr>
          <w:rFonts w:ascii="Times New Roman" w:hAnsi="Times New Roman" w:cs="Times New Roman"/>
          <w:sz w:val="24"/>
          <w:szCs w:val="24"/>
        </w:rPr>
        <w:t>”</w:t>
      </w:r>
    </w:p>
    <w:p w14:paraId="4420305E" w14:textId="173DF3E9" w:rsidR="00A2130E" w:rsidRPr="00315EC7" w:rsidRDefault="00A2130E" w:rsidP="00491C2C">
      <w:pPr>
        <w:pStyle w:val="ListParagraph"/>
        <w:numPr>
          <w:ilvl w:val="0"/>
          <w:numId w:val="1"/>
        </w:numPr>
        <w:jc w:val="both"/>
        <w:rPr>
          <w:rFonts w:ascii="Times New Roman" w:hAnsi="Times New Roman" w:cs="Times New Roman"/>
          <w:sz w:val="24"/>
          <w:szCs w:val="24"/>
        </w:rPr>
      </w:pPr>
      <w:r w:rsidRPr="00315EC7">
        <w:rPr>
          <w:rFonts w:ascii="Times New Roman" w:hAnsi="Times New Roman" w:cs="Times New Roman"/>
          <w:sz w:val="24"/>
          <w:szCs w:val="24"/>
        </w:rPr>
        <w:t xml:space="preserve">Noteikumu 1. pielikuma 4.1. </w:t>
      </w:r>
      <w:r w:rsidR="00CE36EA" w:rsidRPr="00315EC7">
        <w:rPr>
          <w:rFonts w:ascii="Times New Roman" w:hAnsi="Times New Roman" w:cs="Times New Roman"/>
          <w:sz w:val="24"/>
          <w:szCs w:val="24"/>
        </w:rPr>
        <w:t xml:space="preserve">un 4.2. </w:t>
      </w:r>
      <w:r w:rsidRPr="00315EC7">
        <w:rPr>
          <w:rFonts w:ascii="Times New Roman" w:hAnsi="Times New Roman" w:cs="Times New Roman"/>
          <w:sz w:val="24"/>
          <w:szCs w:val="24"/>
        </w:rPr>
        <w:t xml:space="preserve">sadaļas </w:t>
      </w:r>
      <w:r w:rsidR="002C3191" w:rsidRPr="00315EC7">
        <w:rPr>
          <w:rFonts w:ascii="Times New Roman" w:hAnsi="Times New Roman" w:cs="Times New Roman"/>
          <w:sz w:val="24"/>
          <w:szCs w:val="24"/>
        </w:rPr>
        <w:t xml:space="preserve">Tehniskā specifikācija </w:t>
      </w:r>
      <w:r w:rsidRPr="00315EC7">
        <w:rPr>
          <w:rFonts w:ascii="Times New Roman" w:hAnsi="Times New Roman" w:cs="Times New Roman"/>
          <w:sz w:val="24"/>
          <w:szCs w:val="24"/>
        </w:rPr>
        <w:t>1.2. punktu izteikt šādā redakcijā: “1.2. VIDEI DRAUDZĪGA PIEGĀDE UN SEZONĀLI PĀRTIKAS PRODUKTI</w:t>
      </w:r>
    </w:p>
    <w:p w14:paraId="21EC4C49" w14:textId="77777777" w:rsidR="00A2130E" w:rsidRPr="00315EC7" w:rsidRDefault="00A2130E" w:rsidP="00491C2C">
      <w:pPr>
        <w:pStyle w:val="ListParagraph"/>
        <w:ind w:firstLine="208"/>
        <w:jc w:val="both"/>
        <w:rPr>
          <w:rFonts w:ascii="Times New Roman" w:hAnsi="Times New Roman" w:cs="Times New Roman"/>
          <w:sz w:val="24"/>
          <w:szCs w:val="24"/>
        </w:rPr>
      </w:pPr>
      <w:r w:rsidRPr="00315EC7">
        <w:rPr>
          <w:rFonts w:ascii="Times New Roman" w:hAnsi="Times New Roman" w:cs="Times New Roman"/>
          <w:sz w:val="24"/>
          <w:szCs w:val="24"/>
        </w:rPr>
        <w:t xml:space="preserve">Augļu, ogu un dārzeņu piegādes tiks veiktas, ievērojot sezonalitāti; </w:t>
      </w:r>
    </w:p>
    <w:p w14:paraId="01374099" w14:textId="77777777" w:rsidR="00A2130E" w:rsidRPr="00315EC7" w:rsidRDefault="00A2130E" w:rsidP="00491C2C">
      <w:pPr>
        <w:pStyle w:val="ListParagraph"/>
        <w:ind w:firstLine="208"/>
        <w:jc w:val="both"/>
        <w:rPr>
          <w:rFonts w:ascii="Times New Roman" w:hAnsi="Times New Roman" w:cs="Times New Roman"/>
          <w:sz w:val="24"/>
          <w:szCs w:val="24"/>
        </w:rPr>
      </w:pPr>
      <w:r w:rsidRPr="00315EC7">
        <w:rPr>
          <w:rFonts w:ascii="Times New Roman" w:hAnsi="Times New Roman" w:cs="Times New Roman"/>
          <w:sz w:val="24"/>
          <w:szCs w:val="24"/>
        </w:rPr>
        <w:t>vai</w:t>
      </w:r>
    </w:p>
    <w:p w14:paraId="3FB5EA46" w14:textId="77777777" w:rsidR="00A2130E" w:rsidRPr="00315EC7" w:rsidRDefault="00A2130E" w:rsidP="00491C2C">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Transportlīdzekļiem, ko paredzēts izmantot produktu piegādei no pārtikas produktu izcelsmes (audzēšanas/ražošanas) vietas, jāatbilst vismaz EURO 5 vai V atgāzu emisijas standartiem saskaņā ar 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1. tabulā noteiktajām "Euro 5" emisijas robežvērtībām vai saskaņā ar Ministru kabineta 2009. gada 22. decembra noteikumiem noteikumu Nr.1494  "Mopēdu, mehānisko transportlīdzekļu, to piekabju un sastāvdaļu atbilstības novērtēšanas noteikumi" 11. pielikuma 41. iedaļā noteiktajām "EURO V" emisiju robežvērtībām;</w:t>
      </w:r>
    </w:p>
    <w:p w14:paraId="40E95E37" w14:textId="77777777" w:rsidR="00A2130E" w:rsidRPr="00315EC7" w:rsidRDefault="00A2130E" w:rsidP="00F90951">
      <w:pPr>
        <w:pStyle w:val="ListParagraph"/>
        <w:ind w:firstLine="208"/>
        <w:jc w:val="both"/>
        <w:rPr>
          <w:rFonts w:ascii="Times New Roman" w:hAnsi="Times New Roman" w:cs="Times New Roman"/>
          <w:sz w:val="24"/>
          <w:szCs w:val="24"/>
        </w:rPr>
      </w:pPr>
      <w:r w:rsidRPr="00315EC7">
        <w:rPr>
          <w:rFonts w:ascii="Times New Roman" w:hAnsi="Times New Roman" w:cs="Times New Roman"/>
          <w:sz w:val="24"/>
          <w:szCs w:val="24"/>
        </w:rPr>
        <w:t xml:space="preserve">vai </w:t>
      </w:r>
    </w:p>
    <w:p w14:paraId="2FF8794E" w14:textId="79DFF346" w:rsidR="00A2130E" w:rsidRPr="00315EC7" w:rsidRDefault="00A2130E" w:rsidP="00F90951">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pārtikas produktu piegāde tiks veikta noteiktā pasūtītāja paredzēta attāluma ietvaros no pārtikas produktu izcelsmes (tikai audzēšanas/ražošanas) vietas līdz pasūtītāja norādītajai vietai/piegādes adresei, piemēram, ne vairāk kā 250 km ietvaros, izmantojot ceļa infrastruktūru.”</w:t>
      </w:r>
    </w:p>
    <w:p w14:paraId="4131504B" w14:textId="4BA06F77" w:rsidR="0030060E" w:rsidRPr="00315EC7" w:rsidRDefault="006744E9" w:rsidP="00F90951">
      <w:pPr>
        <w:pStyle w:val="ListParagraph"/>
        <w:numPr>
          <w:ilvl w:val="0"/>
          <w:numId w:val="1"/>
        </w:numPr>
        <w:jc w:val="both"/>
        <w:rPr>
          <w:rFonts w:ascii="Times New Roman" w:hAnsi="Times New Roman" w:cs="Times New Roman"/>
          <w:sz w:val="24"/>
          <w:szCs w:val="24"/>
        </w:rPr>
      </w:pPr>
      <w:r w:rsidRPr="00315EC7">
        <w:rPr>
          <w:rFonts w:ascii="Times New Roman" w:hAnsi="Times New Roman" w:cs="Times New Roman"/>
          <w:sz w:val="24"/>
          <w:szCs w:val="24"/>
        </w:rPr>
        <w:t xml:space="preserve">Noteikumu 1. pielikuma 4.1. </w:t>
      </w:r>
      <w:r w:rsidR="00F23E0F" w:rsidRPr="00315EC7">
        <w:rPr>
          <w:rFonts w:ascii="Times New Roman" w:hAnsi="Times New Roman" w:cs="Times New Roman"/>
          <w:sz w:val="24"/>
          <w:szCs w:val="24"/>
        </w:rPr>
        <w:t xml:space="preserve">un 4.2. </w:t>
      </w:r>
      <w:r w:rsidRPr="00315EC7">
        <w:rPr>
          <w:rFonts w:ascii="Times New Roman" w:hAnsi="Times New Roman" w:cs="Times New Roman"/>
          <w:sz w:val="24"/>
          <w:szCs w:val="24"/>
        </w:rPr>
        <w:t xml:space="preserve">sadaļas </w:t>
      </w:r>
      <w:r w:rsidR="0030060E" w:rsidRPr="00315EC7">
        <w:rPr>
          <w:rFonts w:ascii="Times New Roman" w:hAnsi="Times New Roman" w:cs="Times New Roman"/>
          <w:sz w:val="24"/>
          <w:szCs w:val="24"/>
        </w:rPr>
        <w:t>Piedāvājuma izvērtēšanas kritēriji 2.1.1.a. punktu izteikt šādā redakcijā: “Iegādājoties pienu un kefīru vairāk kā 50 procentiem no visas piena un kefīra masas vai vērtības jābūt ražotiem atbilstoši bioloģiskās lauksaimniecības metodēm saskaņā ar Padomes 2007. gada 28. jūnija Regulu (EK) Nr.834/2007 par bioloģisko ražošanu un bioloģisko produktu marķēšanu un par Regulas (EEK) Nr.2092/91 atcelšanu;</w:t>
      </w:r>
    </w:p>
    <w:p w14:paraId="1BE21E65" w14:textId="77777777" w:rsidR="0030060E" w:rsidRPr="00315EC7" w:rsidRDefault="0030060E" w:rsidP="00F90951">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Iegādājoties graudaugu pārstrādes produktus  (piemēram, auzu pārslas, kviešu milti, griķi) vairāk kā 20 procentiem no graudaugu pārstrādes produktu masas vai vērtības jābūt ražotiem atbilstoši bioloģiskās lauksaimniecības metodēm saskaņā ar Padomes 2007. gada 28. jūnija Regulu (EK) Nr.834/2007 par bioloģisko ražošanu un bioloģisko produktu marķēšanu un par Regulas (EEK) Nr.2092/91 atcelšanu;</w:t>
      </w:r>
    </w:p>
    <w:p w14:paraId="1F84CC6D" w14:textId="1E7E3338" w:rsidR="00A2130E" w:rsidRPr="00315EC7" w:rsidRDefault="0030060E" w:rsidP="00F90951">
      <w:pPr>
        <w:pStyle w:val="ListParagraph"/>
        <w:ind w:firstLine="208"/>
        <w:jc w:val="both"/>
        <w:rPr>
          <w:rFonts w:ascii="Times New Roman" w:hAnsi="Times New Roman" w:cs="Times New Roman"/>
          <w:sz w:val="24"/>
          <w:szCs w:val="24"/>
        </w:rPr>
      </w:pPr>
      <w:r w:rsidRPr="00315EC7">
        <w:rPr>
          <w:rFonts w:ascii="Times New Roman" w:hAnsi="Times New Roman" w:cs="Times New Roman"/>
          <w:sz w:val="24"/>
          <w:szCs w:val="24"/>
        </w:rPr>
        <w:t>un”</w:t>
      </w:r>
      <w:r w:rsidR="00727595" w:rsidRPr="00315EC7">
        <w:rPr>
          <w:rFonts w:ascii="Times New Roman" w:hAnsi="Times New Roman" w:cs="Times New Roman"/>
          <w:sz w:val="24"/>
          <w:szCs w:val="24"/>
        </w:rPr>
        <w:t>.</w:t>
      </w:r>
    </w:p>
    <w:p w14:paraId="37C9E8EE" w14:textId="4559857F" w:rsidR="007F419C" w:rsidRPr="00315EC7" w:rsidRDefault="007F419C" w:rsidP="00711445">
      <w:pPr>
        <w:pStyle w:val="ListParagraph"/>
        <w:numPr>
          <w:ilvl w:val="0"/>
          <w:numId w:val="1"/>
        </w:numPr>
        <w:jc w:val="both"/>
        <w:rPr>
          <w:rFonts w:ascii="Times New Roman" w:hAnsi="Times New Roman" w:cs="Times New Roman"/>
          <w:sz w:val="24"/>
          <w:szCs w:val="24"/>
        </w:rPr>
      </w:pPr>
      <w:r w:rsidRPr="00315EC7">
        <w:rPr>
          <w:rFonts w:ascii="Times New Roman" w:hAnsi="Times New Roman" w:cs="Times New Roman"/>
          <w:sz w:val="24"/>
          <w:szCs w:val="24"/>
        </w:rPr>
        <w:t xml:space="preserve">Noteikumu 1. pielikuma 4.1. </w:t>
      </w:r>
      <w:r w:rsidR="008A4ADD" w:rsidRPr="00315EC7">
        <w:rPr>
          <w:rFonts w:ascii="Times New Roman" w:hAnsi="Times New Roman" w:cs="Times New Roman"/>
          <w:sz w:val="24"/>
          <w:szCs w:val="24"/>
        </w:rPr>
        <w:t xml:space="preserve">un 4.2. </w:t>
      </w:r>
      <w:r w:rsidRPr="00315EC7">
        <w:rPr>
          <w:rFonts w:ascii="Times New Roman" w:hAnsi="Times New Roman" w:cs="Times New Roman"/>
          <w:sz w:val="24"/>
          <w:szCs w:val="24"/>
        </w:rPr>
        <w:t>sadaļas Piedāvājuma izvērtēšanas kritēriji</w:t>
      </w:r>
      <w:r w:rsidR="0067328E" w:rsidRPr="00315EC7">
        <w:rPr>
          <w:rFonts w:ascii="Times New Roman" w:hAnsi="Times New Roman" w:cs="Times New Roman"/>
          <w:sz w:val="24"/>
          <w:szCs w:val="24"/>
        </w:rPr>
        <w:t xml:space="preserve"> </w:t>
      </w:r>
      <w:r w:rsidRPr="00315EC7">
        <w:rPr>
          <w:rFonts w:ascii="Times New Roman" w:hAnsi="Times New Roman" w:cs="Times New Roman"/>
          <w:sz w:val="24"/>
          <w:szCs w:val="24"/>
        </w:rPr>
        <w:t xml:space="preserve">2.2.3. </w:t>
      </w:r>
      <w:r w:rsidR="0067328E" w:rsidRPr="00315EC7">
        <w:rPr>
          <w:rFonts w:ascii="Times New Roman" w:hAnsi="Times New Roman" w:cs="Times New Roman"/>
          <w:sz w:val="24"/>
          <w:szCs w:val="24"/>
        </w:rPr>
        <w:t>punktu izteikt šādā redakcijā: “</w:t>
      </w:r>
      <w:r w:rsidRPr="00315EC7">
        <w:rPr>
          <w:rFonts w:ascii="Times New Roman" w:hAnsi="Times New Roman" w:cs="Times New Roman"/>
          <w:sz w:val="24"/>
          <w:szCs w:val="24"/>
        </w:rPr>
        <w:t xml:space="preserve">pārtikas produktu piegāde veikta noteiktā pasūtītāja paredzētā attāluma ietvaros no pārtikas produktu izcelsmes (tikai audzēšanas/ražošanas) vietas līdz pasūtītāja norādītajai vietai/piegādes </w:t>
      </w:r>
      <w:r w:rsidRPr="00315EC7">
        <w:rPr>
          <w:rFonts w:ascii="Times New Roman" w:hAnsi="Times New Roman" w:cs="Times New Roman"/>
          <w:sz w:val="24"/>
          <w:szCs w:val="24"/>
        </w:rPr>
        <w:lastRenderedPageBreak/>
        <w:t>adresei, piemēram, ne vairāk kā 250 km ietvaros izmantojot ceļa infrastruktūru.</w:t>
      </w:r>
    </w:p>
    <w:p w14:paraId="6A7FC003" w14:textId="3B54B8FE" w:rsidR="00727595" w:rsidRPr="00315EC7" w:rsidRDefault="007F419C" w:rsidP="00711445">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Augļu, ogu un dārzeņu piegādēm jāievēro Zemkopības ministrijas izstrādātie vietējo augļu, ogu un dārzeņu sezonalitātes kalendāri, kuri publicēti Iepirkumu uzraudzības biroja tīmekļvietnē.</w:t>
      </w:r>
      <w:r w:rsidR="0067328E" w:rsidRPr="00315EC7">
        <w:rPr>
          <w:rFonts w:ascii="Times New Roman" w:hAnsi="Times New Roman" w:cs="Times New Roman"/>
          <w:sz w:val="24"/>
          <w:szCs w:val="24"/>
        </w:rPr>
        <w:t>”</w:t>
      </w:r>
    </w:p>
    <w:p w14:paraId="178B2543" w14:textId="7029C16F" w:rsidR="0064199A" w:rsidRPr="00315EC7" w:rsidRDefault="0064199A" w:rsidP="00711445">
      <w:pPr>
        <w:pStyle w:val="ListParagraph"/>
        <w:numPr>
          <w:ilvl w:val="0"/>
          <w:numId w:val="1"/>
        </w:numPr>
        <w:jc w:val="both"/>
        <w:rPr>
          <w:rFonts w:ascii="Times New Roman" w:hAnsi="Times New Roman" w:cs="Times New Roman"/>
          <w:sz w:val="24"/>
          <w:szCs w:val="24"/>
        </w:rPr>
      </w:pPr>
      <w:r w:rsidRPr="00315EC7">
        <w:rPr>
          <w:rFonts w:ascii="Times New Roman" w:hAnsi="Times New Roman" w:cs="Times New Roman"/>
          <w:sz w:val="24"/>
          <w:szCs w:val="24"/>
        </w:rPr>
        <w:t>“3. Papildus punktus var piešķirt par:</w:t>
      </w:r>
    </w:p>
    <w:p w14:paraId="50214C1D" w14:textId="6A8F738F" w:rsidR="0064199A" w:rsidRPr="00315EC7" w:rsidRDefault="0064199A" w:rsidP="00711445">
      <w:pPr>
        <w:pStyle w:val="ListParagraph"/>
        <w:ind w:firstLine="208"/>
        <w:jc w:val="both"/>
        <w:rPr>
          <w:rFonts w:ascii="Times New Roman" w:hAnsi="Times New Roman" w:cs="Times New Roman"/>
          <w:sz w:val="24"/>
          <w:szCs w:val="24"/>
        </w:rPr>
      </w:pPr>
      <w:r w:rsidRPr="00315EC7">
        <w:rPr>
          <w:rFonts w:ascii="Times New Roman" w:hAnsi="Times New Roman" w:cs="Times New Roman"/>
          <w:sz w:val="24"/>
          <w:szCs w:val="24"/>
        </w:rPr>
        <w:t>3.1. BIOLOĢISKĀ PĀRTIKA</w:t>
      </w:r>
    </w:p>
    <w:p w14:paraId="2871C708" w14:textId="77777777" w:rsidR="0064199A" w:rsidRPr="00315EC7" w:rsidRDefault="0064199A" w:rsidP="00711445">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Bioloģiskās lauksaimniecības prasībām atbilstoši produktu apjoms, kas pārsniedz tehniskajā specifikācijā norādīto minimālo apjomu.</w:t>
      </w:r>
    </w:p>
    <w:p w14:paraId="2FED5739" w14:textId="77777777" w:rsidR="0064199A" w:rsidRPr="00315EC7" w:rsidRDefault="0064199A" w:rsidP="00711445">
      <w:pPr>
        <w:pStyle w:val="ListParagraph"/>
        <w:ind w:firstLine="208"/>
        <w:jc w:val="both"/>
        <w:rPr>
          <w:rFonts w:ascii="Times New Roman" w:hAnsi="Times New Roman" w:cs="Times New Roman"/>
          <w:sz w:val="24"/>
          <w:szCs w:val="24"/>
        </w:rPr>
      </w:pPr>
      <w:r w:rsidRPr="00315EC7">
        <w:rPr>
          <w:rFonts w:ascii="Times New Roman" w:hAnsi="Times New Roman" w:cs="Times New Roman"/>
          <w:sz w:val="24"/>
          <w:szCs w:val="24"/>
        </w:rPr>
        <w:t>3.2. INTEGRĒTĀ RAŽOŠANA</w:t>
      </w:r>
    </w:p>
    <w:p w14:paraId="3F37ECF7" w14:textId="77777777" w:rsidR="0064199A" w:rsidRPr="00315EC7" w:rsidRDefault="0064199A" w:rsidP="00711445">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Lauksaimniecības produktu integrētās audzēšanas prasībām atbilstošo produktu apjoms, kas pārsniedz tehniskajā specifikācijā norādīto minimālo apjomu.</w:t>
      </w:r>
    </w:p>
    <w:p w14:paraId="5F8A8F9A" w14:textId="77777777" w:rsidR="0064199A" w:rsidRPr="00315EC7" w:rsidRDefault="0064199A" w:rsidP="00711445">
      <w:pPr>
        <w:pStyle w:val="ListParagraph"/>
        <w:ind w:firstLine="208"/>
        <w:jc w:val="both"/>
        <w:rPr>
          <w:rFonts w:ascii="Times New Roman" w:hAnsi="Times New Roman" w:cs="Times New Roman"/>
          <w:sz w:val="24"/>
          <w:szCs w:val="24"/>
        </w:rPr>
      </w:pPr>
      <w:r w:rsidRPr="00315EC7">
        <w:rPr>
          <w:rFonts w:ascii="Times New Roman" w:hAnsi="Times New Roman" w:cs="Times New Roman"/>
          <w:sz w:val="24"/>
          <w:szCs w:val="24"/>
        </w:rPr>
        <w:t xml:space="preserve">3.3 PĀRTIKAS KVALITĀTES SHĒMAS </w:t>
      </w:r>
    </w:p>
    <w:p w14:paraId="61B3F8E9" w14:textId="77777777" w:rsidR="0064199A" w:rsidRPr="00315EC7" w:rsidRDefault="0064199A" w:rsidP="00711445">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Nacionālās pārtikas kvalitātes shēmas prasībām atbilstošo produktu apjoms, kas pārsniedz tehniskajā specifikācijā norādīto minimālo apjomu.</w:t>
      </w:r>
    </w:p>
    <w:p w14:paraId="5060E70C" w14:textId="77777777" w:rsidR="0064199A" w:rsidRPr="00315EC7" w:rsidRDefault="0064199A" w:rsidP="00711445">
      <w:pPr>
        <w:pStyle w:val="ListParagraph"/>
        <w:ind w:firstLine="208"/>
        <w:jc w:val="both"/>
        <w:rPr>
          <w:rFonts w:ascii="Times New Roman" w:hAnsi="Times New Roman" w:cs="Times New Roman"/>
          <w:sz w:val="24"/>
          <w:szCs w:val="24"/>
        </w:rPr>
      </w:pPr>
      <w:r w:rsidRPr="00315EC7">
        <w:rPr>
          <w:rFonts w:ascii="Times New Roman" w:hAnsi="Times New Roman" w:cs="Times New Roman"/>
          <w:sz w:val="24"/>
          <w:szCs w:val="24"/>
        </w:rPr>
        <w:t>3.4. AKVAKULTŪRAS UN JŪRAS PRODUKTI (ja attiecināms)</w:t>
      </w:r>
    </w:p>
    <w:p w14:paraId="1DF588D2" w14:textId="7C99C9AB" w:rsidR="0064199A" w:rsidRPr="00315EC7" w:rsidRDefault="0064199A" w:rsidP="00A43628">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 xml:space="preserve">Akvakultūras un jūras produktu nozvejā un ražošanā ievērota ilgtspējīga prakse un metodes, kā noteikts attiecīgā ilgtspējīgas zvejas un akvakultūras marķējumā. </w:t>
      </w:r>
    </w:p>
    <w:p w14:paraId="6F8E969C" w14:textId="77777777" w:rsidR="0064199A" w:rsidRPr="00315EC7" w:rsidRDefault="0064199A" w:rsidP="00A43628">
      <w:pPr>
        <w:pStyle w:val="ListParagraph"/>
        <w:ind w:left="928"/>
        <w:jc w:val="both"/>
        <w:rPr>
          <w:rFonts w:ascii="Times New Roman" w:hAnsi="Times New Roman" w:cs="Times New Roman"/>
          <w:sz w:val="24"/>
          <w:szCs w:val="24"/>
        </w:rPr>
      </w:pPr>
      <w:r w:rsidRPr="00315EC7">
        <w:rPr>
          <w:rFonts w:ascii="Times New Roman" w:hAnsi="Times New Roman" w:cs="Times New Roman"/>
          <w:sz w:val="24"/>
          <w:szCs w:val="24"/>
        </w:rPr>
        <w:t>Ja vismaz divu piedāvājumu novērtējums ir vienāds, pasūtītājs pārtikas produktu piegādes līguma slēgšanas tiesības piešķir pretendentam, kura piedāvājumā ir lielāks to pārtikas produktu īpatsvars, vērtējot to sekojošā prioritārā kārtībā:</w:t>
      </w:r>
    </w:p>
    <w:p w14:paraId="4C34D2F6" w14:textId="77777777" w:rsidR="0064199A" w:rsidRPr="00315EC7" w:rsidRDefault="0064199A" w:rsidP="00A43628">
      <w:pPr>
        <w:pStyle w:val="ListParagraph"/>
        <w:ind w:firstLine="208"/>
        <w:rPr>
          <w:rFonts w:ascii="Times New Roman" w:hAnsi="Times New Roman" w:cs="Times New Roman"/>
          <w:sz w:val="24"/>
          <w:szCs w:val="24"/>
        </w:rPr>
      </w:pPr>
      <w:r w:rsidRPr="00315EC7">
        <w:rPr>
          <w:rFonts w:ascii="Times New Roman" w:hAnsi="Times New Roman" w:cs="Times New Roman"/>
          <w:sz w:val="24"/>
          <w:szCs w:val="24"/>
        </w:rPr>
        <w:t xml:space="preserve">1.  kuri atbilst bioloģiskās lauksaimniecības audzēšanas prasībām; </w:t>
      </w:r>
    </w:p>
    <w:p w14:paraId="218DFD9D" w14:textId="77777777" w:rsidR="0064199A" w:rsidRPr="00315EC7" w:rsidRDefault="0064199A" w:rsidP="00A43628">
      <w:pPr>
        <w:pStyle w:val="ListParagraph"/>
        <w:ind w:left="928"/>
        <w:rPr>
          <w:rFonts w:ascii="Times New Roman" w:hAnsi="Times New Roman" w:cs="Times New Roman"/>
          <w:sz w:val="24"/>
          <w:szCs w:val="24"/>
        </w:rPr>
      </w:pPr>
      <w:r w:rsidRPr="00315EC7">
        <w:rPr>
          <w:rFonts w:ascii="Times New Roman" w:hAnsi="Times New Roman" w:cs="Times New Roman"/>
          <w:sz w:val="24"/>
          <w:szCs w:val="24"/>
        </w:rPr>
        <w:t>2.  nacionālās pārtikas kvalitātes shēmas, vai lauksaimniecības produktu integrētās audzēšanas prasībām;</w:t>
      </w:r>
    </w:p>
    <w:p w14:paraId="7DA1DFAD" w14:textId="7FEF0EEE" w:rsidR="004558F8" w:rsidRPr="00315EC7" w:rsidRDefault="0064199A" w:rsidP="00A43628">
      <w:pPr>
        <w:pStyle w:val="ListParagraph"/>
        <w:ind w:left="928"/>
        <w:rPr>
          <w:rFonts w:ascii="Times New Roman" w:hAnsi="Times New Roman" w:cs="Times New Roman"/>
          <w:sz w:val="24"/>
          <w:szCs w:val="24"/>
        </w:rPr>
      </w:pPr>
      <w:r w:rsidRPr="00315EC7">
        <w:rPr>
          <w:rFonts w:ascii="Times New Roman" w:hAnsi="Times New Roman" w:cs="Times New Roman"/>
          <w:sz w:val="24"/>
          <w:szCs w:val="24"/>
        </w:rPr>
        <w:t>3. kurus paredzēts piegādāt noteiktā pasūtītāja paredzētā attāluma ietvaros no pārtikas produktu izcelsmes (tikai audzēšanas/ražošanas) vietas līdz pasūtītāja norādītajai vietai/piegādes adresei, piemēram, ne vairāk kā 250 km ietvaros izmantojot ceļa infrastruktūru.”</w:t>
      </w:r>
    </w:p>
    <w:p w14:paraId="7DC30E74" w14:textId="77777777" w:rsidR="004558F8" w:rsidRPr="00315EC7" w:rsidRDefault="004558F8" w:rsidP="004558F8">
      <w:pPr>
        <w:pStyle w:val="ListParagraph"/>
        <w:numPr>
          <w:ilvl w:val="0"/>
          <w:numId w:val="1"/>
        </w:numPr>
        <w:spacing w:after="120" w:line="264" w:lineRule="auto"/>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1. pielikuma 4.2. sadaļas tvērumu izteikt šādā redakcijā: “ZPI prasību un kritēriju piemērošana ēdināšanas pakalpojumeim ir obligāta veicot iepirkumus, kur galvenais iepirkuma priekšmets un mērķis ir ēdināšanas pakalpojuma nodrošināšana, kas CPV klasifikatorā atpazīstama ar kādu no sekojošiem CPV kodiem: 55300000-3 Restorānu un ēdināšanas pakalpojumi, 55500000-5 Ēdnīcu un sabiedriskās ēdināšanas pakalpojumi. </w:t>
      </w:r>
    </w:p>
    <w:p w14:paraId="3F0E6EC1" w14:textId="77777777" w:rsidR="004558F8" w:rsidRPr="00315EC7" w:rsidRDefault="004558F8" w:rsidP="00A43628">
      <w:pPr>
        <w:pStyle w:val="ListParagraph"/>
        <w:spacing w:after="120" w:line="264" w:lineRule="auto"/>
        <w:ind w:left="928"/>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Savukārt pakalpojumiem, kuru primārais mērķis nav ēdināšanas pakalpojumu nodrošināšana, piemēram, semināru organizēšanas pakalpojumi (CPV kods - 79951000-5), kuros kā atsevišķa komponente iespējama kafijas paužu un/vai ēdināšanas nodrošināšana, to ietvaros ZPI prasības un kritēriji pēc iespējas piemērojami brīvprātīgi.</w:t>
      </w:r>
    </w:p>
    <w:p w14:paraId="3D8AEB3E" w14:textId="7107DCC7" w:rsidR="00554031" w:rsidRPr="00315EC7" w:rsidRDefault="00554031" w:rsidP="00A43628">
      <w:pPr>
        <w:pStyle w:val="ListParagraph"/>
        <w:spacing w:after="120" w:line="264" w:lineRule="auto"/>
        <w:ind w:left="928"/>
        <w:jc w:val="both"/>
        <w:rPr>
          <w:rFonts w:ascii="Times New Roman" w:eastAsia="Times New Roman" w:hAnsi="Times New Roman" w:cs="Times New Roman"/>
          <w:sz w:val="24"/>
          <w:szCs w:val="24"/>
          <w:lang w:eastAsia="ja-JP"/>
        </w:rPr>
      </w:pPr>
      <w:r w:rsidRPr="00554031">
        <w:rPr>
          <w:rFonts w:ascii="Times New Roman" w:eastAsia="Times New Roman" w:hAnsi="Times New Roman" w:cs="Times New Roman"/>
          <w:sz w:val="24"/>
          <w:szCs w:val="24"/>
          <w:lang w:eastAsia="ja-JP"/>
        </w:rPr>
        <w:t xml:space="preserve">ZPI prasības un kritēriji ir noteikti pārtikas produktu piegādēm un ēdināšanas pakalpojumiem. ZPI kritērijus piemēro brīvprātīgi augļiem, ogām un dārzeņiem, kas nav iekļauti Zemkopības ministrijas izstrādātajos vietējo </w:t>
      </w:r>
      <w:r w:rsidRPr="00554031">
        <w:rPr>
          <w:rFonts w:ascii="Times New Roman" w:eastAsia="Times New Roman" w:hAnsi="Times New Roman" w:cs="Times New Roman"/>
          <w:sz w:val="24"/>
          <w:szCs w:val="24"/>
          <w:lang w:eastAsia="ja-JP"/>
        </w:rPr>
        <w:lastRenderedPageBreak/>
        <w:t>augļu, ogu un dārzeņu sezonalitātes kalendāros (pieejami Iepirkumu uzraudzības biroja mājas lapā), kā arī  pārtikas produktiem, tostarp,  saldētai produkcijai, kuri netiek audzēti vai ražoti Latvijā.</w:t>
      </w:r>
    </w:p>
    <w:p w14:paraId="08A6B98A" w14:textId="0114F8EC" w:rsidR="00256E8F" w:rsidRPr="00315EC7" w:rsidRDefault="005076AD" w:rsidP="00256E8F">
      <w:pPr>
        <w:pStyle w:val="ListParagraph"/>
        <w:widowControl w:val="0"/>
        <w:numPr>
          <w:ilvl w:val="0"/>
          <w:numId w:val="1"/>
        </w:numPr>
        <w:autoSpaceDE w:val="0"/>
        <w:autoSpaceDN w:val="0"/>
        <w:adjustRightInd w:val="0"/>
        <w:spacing w:after="0" w:line="240" w:lineRule="auto"/>
        <w:jc w:val="both"/>
        <w:rPr>
          <w:rFonts w:ascii="Times New Roman" w:eastAsia="Times New Roman" w:hAnsi="Times New Roman" w:cs="Times New Roman"/>
          <w:iCs/>
          <w:sz w:val="24"/>
          <w:szCs w:val="24"/>
          <w:lang w:eastAsia="lv-LV"/>
        </w:rPr>
      </w:pPr>
      <w:r w:rsidRPr="00315EC7">
        <w:rPr>
          <w:rFonts w:ascii="Times New Roman" w:hAnsi="Times New Roman" w:cs="Times New Roman"/>
          <w:sz w:val="24"/>
          <w:szCs w:val="24"/>
        </w:rPr>
        <w:t>Noteikumu 1. pielikuma 4.2. sadaļas Piedāvājuma izvērtēšanas kritēriji</w:t>
      </w:r>
      <w:r w:rsidR="00256E8F" w:rsidRPr="00315EC7">
        <w:rPr>
          <w:rFonts w:ascii="Times New Roman" w:hAnsi="Times New Roman" w:cs="Times New Roman"/>
          <w:sz w:val="24"/>
          <w:szCs w:val="24"/>
        </w:rPr>
        <w:t xml:space="preserve"> 3.4. punktu izteikt šādā redakcijā: “</w:t>
      </w:r>
      <w:r w:rsidR="00256E8F" w:rsidRPr="00315EC7">
        <w:rPr>
          <w:rFonts w:ascii="Times New Roman" w:eastAsia="Times New Roman" w:hAnsi="Times New Roman" w:cs="Times New Roman"/>
          <w:iCs/>
          <w:sz w:val="24"/>
          <w:szCs w:val="24"/>
          <w:lang w:eastAsia="lv-LV"/>
        </w:rPr>
        <w:t xml:space="preserve">3.4. APRĪKOJUMS </w:t>
      </w:r>
      <w:r w:rsidR="00BB2CE8" w:rsidRPr="00315EC7">
        <w:rPr>
          <w:rFonts w:ascii="Times New Roman" w:eastAsia="Times New Roman" w:hAnsi="Times New Roman" w:cs="Times New Roman"/>
          <w:iCs/>
          <w:sz w:val="24"/>
          <w:szCs w:val="24"/>
          <w:lang w:eastAsia="lv-LV"/>
        </w:rPr>
        <w:t xml:space="preserve"> </w:t>
      </w:r>
      <w:r w:rsidR="00256E8F" w:rsidRPr="00315EC7">
        <w:rPr>
          <w:rFonts w:ascii="Times New Roman" w:eastAsia="Times New Roman" w:hAnsi="Times New Roman" w:cs="Times New Roman"/>
          <w:iCs/>
          <w:sz w:val="24"/>
          <w:szCs w:val="24"/>
          <w:lang w:eastAsia="lv-LV"/>
        </w:rPr>
        <w:t xml:space="preserve">Ja iekļauts ir arī aprīkojums, tad nepieciešams ievērot šādus kritērijus: </w:t>
      </w:r>
    </w:p>
    <w:p w14:paraId="7F288DB0" w14:textId="77777777" w:rsidR="00256E8F" w:rsidRPr="00315EC7" w:rsidRDefault="00256E8F" w:rsidP="00A43628">
      <w:pPr>
        <w:widowControl w:val="0"/>
        <w:autoSpaceDE w:val="0"/>
        <w:autoSpaceDN w:val="0"/>
        <w:adjustRightInd w:val="0"/>
        <w:spacing w:after="0" w:line="240" w:lineRule="auto"/>
        <w:ind w:left="928"/>
        <w:jc w:val="both"/>
        <w:rPr>
          <w:rFonts w:ascii="Times New Roman" w:eastAsia="Times New Roman" w:hAnsi="Times New Roman" w:cs="Times New Roman"/>
          <w:sz w:val="24"/>
          <w:szCs w:val="24"/>
          <w:lang w:eastAsia="lv-LV"/>
        </w:rPr>
      </w:pPr>
      <w:r w:rsidRPr="00315EC7">
        <w:rPr>
          <w:rFonts w:ascii="Times New Roman" w:eastAsia="Times New Roman" w:hAnsi="Times New Roman" w:cs="Times New Roman"/>
          <w:sz w:val="24"/>
          <w:szCs w:val="24"/>
          <w:lang w:eastAsia="lv-LV"/>
        </w:rPr>
        <w:t xml:space="preserve">3.4.1. </w:t>
      </w:r>
      <w:r w:rsidRPr="00315EC7">
        <w:rPr>
          <w:rFonts w:ascii="Times New Roman" w:eastAsia="Times New Roman" w:hAnsi="Times New Roman" w:cs="Times New Roman"/>
          <w:iCs/>
          <w:sz w:val="24"/>
          <w:szCs w:val="24"/>
          <w:lang w:eastAsia="lv-LV"/>
        </w:rPr>
        <w:t>ledusskapjos un saldētavās, ko paredzēts izmantot, sniedzot ēdināšanas pakalpojumus, nav ozona slāni noārdošās vielas (HCFC un HFC);</w:t>
      </w:r>
    </w:p>
    <w:p w14:paraId="51D09FBC" w14:textId="77777777" w:rsidR="00256E8F" w:rsidRPr="00315EC7" w:rsidRDefault="00256E8F" w:rsidP="00A43628">
      <w:pPr>
        <w:widowControl w:val="0"/>
        <w:autoSpaceDE w:val="0"/>
        <w:autoSpaceDN w:val="0"/>
        <w:adjustRightInd w:val="0"/>
        <w:spacing w:after="0" w:line="240" w:lineRule="auto"/>
        <w:ind w:left="928"/>
        <w:jc w:val="both"/>
        <w:rPr>
          <w:rFonts w:ascii="Times New Roman" w:eastAsia="Times New Roman" w:hAnsi="Times New Roman" w:cs="Times New Roman"/>
          <w:sz w:val="24"/>
          <w:szCs w:val="24"/>
          <w:lang w:eastAsia="lv-LV"/>
        </w:rPr>
      </w:pPr>
      <w:r w:rsidRPr="00315EC7">
        <w:rPr>
          <w:rFonts w:ascii="Times New Roman" w:eastAsia="Times New Roman" w:hAnsi="Times New Roman" w:cs="Times New Roman"/>
          <w:sz w:val="24"/>
          <w:szCs w:val="24"/>
          <w:lang w:eastAsia="lv-LV"/>
        </w:rPr>
        <w:t xml:space="preserve">3.4.2. </w:t>
      </w:r>
      <w:r w:rsidRPr="00315EC7">
        <w:rPr>
          <w:rFonts w:ascii="Times New Roman" w:eastAsia="Times New Roman" w:hAnsi="Times New Roman" w:cs="Times New Roman"/>
          <w:iCs/>
          <w:sz w:val="24"/>
          <w:szCs w:val="24"/>
          <w:lang w:eastAsia="lv-LV"/>
        </w:rPr>
        <w:t>aprīkojums atbilst vienam vai vairākiem no turpmāk minētajiem energoefektivitātes standartiem, ja tādi pastāv, ES enerģijas patēriņa marķējums (ne zemāk kā F  klase) vai līdzvērtīgs standarts;</w:t>
      </w:r>
    </w:p>
    <w:p w14:paraId="3A7116E7" w14:textId="77777777" w:rsidR="005D258E" w:rsidRPr="00315EC7" w:rsidRDefault="00256E8F" w:rsidP="00A43628">
      <w:pPr>
        <w:widowControl w:val="0"/>
        <w:autoSpaceDE w:val="0"/>
        <w:autoSpaceDN w:val="0"/>
        <w:adjustRightInd w:val="0"/>
        <w:spacing w:after="0" w:line="240" w:lineRule="auto"/>
        <w:ind w:left="928"/>
        <w:jc w:val="both"/>
        <w:rPr>
          <w:rFonts w:ascii="Times New Roman" w:eastAsia="Times New Roman" w:hAnsi="Times New Roman" w:cs="Times New Roman"/>
          <w:iCs/>
          <w:sz w:val="24"/>
          <w:szCs w:val="24"/>
          <w:lang w:eastAsia="lv-LV"/>
        </w:rPr>
      </w:pPr>
      <w:r w:rsidRPr="00315EC7">
        <w:rPr>
          <w:rFonts w:ascii="Times New Roman" w:eastAsia="Times New Roman" w:hAnsi="Times New Roman" w:cs="Times New Roman"/>
          <w:sz w:val="24"/>
          <w:szCs w:val="24"/>
          <w:lang w:eastAsia="lv-LV"/>
        </w:rPr>
        <w:t xml:space="preserve">3.4.3. </w:t>
      </w:r>
      <w:r w:rsidRPr="00315EC7">
        <w:rPr>
          <w:rFonts w:ascii="Times New Roman" w:eastAsia="Times New Roman" w:hAnsi="Times New Roman" w:cs="Times New Roman"/>
          <w:iCs/>
          <w:sz w:val="24"/>
          <w:szCs w:val="24"/>
          <w:lang w:eastAsia="lv-LV"/>
        </w:rPr>
        <w:t>aprīkojums ir efektīvs ūdens patēriņa ziņā saskaņā ar ES marķējumu vai līdzvērtīgu standartu.</w:t>
      </w:r>
      <w:r w:rsidRPr="00315EC7">
        <w:rPr>
          <w:rFonts w:ascii="Times New Roman" w:eastAsia="Times New Roman" w:hAnsi="Times New Roman" w:cs="Times New Roman"/>
          <w:iCs/>
          <w:sz w:val="24"/>
          <w:szCs w:val="24"/>
          <w:lang w:eastAsia="lv-LV"/>
        </w:rPr>
        <w:t>”</w:t>
      </w:r>
    </w:p>
    <w:p w14:paraId="58EFF335" w14:textId="77777777" w:rsidR="005D258E" w:rsidRPr="00315EC7" w:rsidRDefault="005D258E" w:rsidP="005D258E">
      <w:pPr>
        <w:pStyle w:val="ListParagraph"/>
        <w:numPr>
          <w:ilvl w:val="0"/>
          <w:numId w:val="1"/>
        </w:numPr>
        <w:spacing w:after="120" w:line="264" w:lineRule="auto"/>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Noteikumu 1. pielikuma 6. sadaļas tvērumu izteikt šādā redakcijā: “Prasības un kritēriji attiecas uz iekštelpu apgaismojuma iepirkumiem. Attiecībā uz šīm prasībām un kritērijiem iekštelpu apgaismojums ir spuldzes, apgaismes iekārtas (gaismekļi) un apgaismes vadības ierīces, kas atrodas ēku iekštelpās. Kritēriji neattiecas uz dažādiem īpaša apgaismojuma veidiem (piemēram, krāsainu apgaismojumu, vitrīnu, skatuves, reklāmas u.tml. apgaismojumu). Atkarībā no iepirkuma mērķiem, tiek piedāvāti četri dažādi kritēriju kopumi: </w:t>
      </w:r>
    </w:p>
    <w:p w14:paraId="0852188A" w14:textId="05124DD8" w:rsidR="005D258E" w:rsidRPr="00315EC7" w:rsidRDefault="005D258E" w:rsidP="00BE7560">
      <w:pPr>
        <w:pStyle w:val="ListParagraph"/>
        <w:numPr>
          <w:ilvl w:val="0"/>
          <w:numId w:val="2"/>
        </w:numPr>
        <w:spacing w:after="120" w:line="264" w:lineRule="auto"/>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resursus taupošu un energoefektīvu spuldžu iegādei; </w:t>
      </w:r>
    </w:p>
    <w:p w14:paraId="50842945" w14:textId="77777777" w:rsidR="005D258E" w:rsidRPr="00315EC7" w:rsidRDefault="005D258E" w:rsidP="00BE7560">
      <w:pPr>
        <w:pStyle w:val="ListParagraph"/>
        <w:numPr>
          <w:ilvl w:val="0"/>
          <w:numId w:val="2"/>
        </w:numPr>
        <w:spacing w:after="120" w:line="264" w:lineRule="auto"/>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jauna apgaismojuma sistēmas projektēšanai vai esošās apgaismojuma sistēmas renovācijai; </w:t>
      </w:r>
    </w:p>
    <w:p w14:paraId="7DEC4B78" w14:textId="67ED8CAB" w:rsidR="00362706" w:rsidRPr="00315EC7" w:rsidRDefault="005D258E" w:rsidP="00BE7560">
      <w:pPr>
        <w:pStyle w:val="ListParagraph"/>
        <w:numPr>
          <w:ilvl w:val="0"/>
          <w:numId w:val="2"/>
        </w:numPr>
        <w:spacing w:after="120" w:line="264" w:lineRule="auto"/>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uzstādīšanas darbam.”</w:t>
      </w:r>
    </w:p>
    <w:p w14:paraId="1C2463F4" w14:textId="2E7BDA1A" w:rsidR="0001304E" w:rsidRPr="00315EC7" w:rsidRDefault="0001304E" w:rsidP="0001304E">
      <w:pPr>
        <w:pStyle w:val="ListParagraph"/>
        <w:keepNext/>
        <w:keepLines/>
        <w:numPr>
          <w:ilvl w:val="0"/>
          <w:numId w:val="1"/>
        </w:numPr>
        <w:spacing w:before="240" w:after="0" w:line="240" w:lineRule="auto"/>
        <w:outlineLvl w:val="0"/>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Noteikumu 1. pielikuma 6.1. sadaļas nosaukumu izteikt šādā redakcijā: “</w:t>
      </w:r>
      <w:r w:rsidRPr="00315EC7">
        <w:rPr>
          <w:rFonts w:ascii="Times New Roman" w:eastAsia="MS Gothic" w:hAnsi="Times New Roman" w:cs="Times New Roman"/>
          <w:sz w:val="24"/>
          <w:szCs w:val="24"/>
          <w:lang w:eastAsia="lv-LV"/>
        </w:rPr>
        <w:t>6.1. ZPI prasības un kritēriji spuldzēm</w:t>
      </w:r>
      <w:r w:rsidRPr="00315EC7">
        <w:rPr>
          <w:rFonts w:ascii="Times New Roman" w:eastAsia="Times New Roman" w:hAnsi="Times New Roman" w:cs="Times New Roman"/>
          <w:sz w:val="24"/>
          <w:szCs w:val="24"/>
          <w:lang w:eastAsia="ja-JP"/>
        </w:rPr>
        <w:t>”</w:t>
      </w:r>
      <w:r w:rsidR="00D00870" w:rsidRPr="00315EC7">
        <w:rPr>
          <w:rFonts w:ascii="Times New Roman" w:eastAsia="Times New Roman" w:hAnsi="Times New Roman" w:cs="Times New Roman"/>
          <w:sz w:val="24"/>
          <w:szCs w:val="24"/>
          <w:lang w:eastAsia="ja-JP"/>
        </w:rPr>
        <w:t xml:space="preserve">. </w:t>
      </w:r>
      <w:r w:rsidRPr="00315EC7">
        <w:rPr>
          <w:rFonts w:ascii="Times New Roman" w:eastAsia="Times New Roman" w:hAnsi="Times New Roman" w:cs="Times New Roman"/>
          <w:sz w:val="24"/>
          <w:szCs w:val="24"/>
          <w:lang w:eastAsia="ja-JP"/>
        </w:rPr>
        <w:t xml:space="preserve"> </w:t>
      </w:r>
    </w:p>
    <w:p w14:paraId="1F3A5FB4" w14:textId="77D79A89" w:rsidR="001249E7" w:rsidRPr="00315EC7" w:rsidRDefault="00D00870" w:rsidP="001249E7">
      <w:pPr>
        <w:pStyle w:val="ListParagraph"/>
        <w:numPr>
          <w:ilvl w:val="0"/>
          <w:numId w:val="1"/>
        </w:numPr>
        <w:spacing w:after="120" w:line="264" w:lineRule="auto"/>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Noteikumu 1. pielikuma 6.1. sadaļas ZPI prasības un kritēriji Tehniskā specifikācija izteikt šādā redakcijā: “</w:t>
      </w:r>
      <w:r w:rsidRPr="00315EC7">
        <w:rPr>
          <w:rFonts w:ascii="Times New Roman" w:eastAsia="Times New Roman" w:hAnsi="Times New Roman" w:cs="Times New Roman"/>
          <w:sz w:val="24"/>
          <w:szCs w:val="24"/>
          <w:lang w:eastAsia="ja-JP"/>
        </w:rPr>
        <w:t>Resursus taupošas un energoefektīvas lampas spuldzes</w:t>
      </w:r>
      <w:r w:rsidRPr="00315EC7">
        <w:rPr>
          <w:rFonts w:ascii="Times New Roman" w:eastAsia="Times New Roman" w:hAnsi="Times New Roman" w:cs="Times New Roman"/>
          <w:sz w:val="24"/>
          <w:szCs w:val="24"/>
          <w:lang w:eastAsia="ja-JP"/>
        </w:rPr>
        <w:t xml:space="preserve">”. </w:t>
      </w:r>
    </w:p>
    <w:p w14:paraId="2446C7D1" w14:textId="77777777" w:rsidR="00857760" w:rsidRPr="00315EC7" w:rsidRDefault="006577FF" w:rsidP="00857760">
      <w:pPr>
        <w:pStyle w:val="ListParagraph"/>
        <w:numPr>
          <w:ilvl w:val="0"/>
          <w:numId w:val="1"/>
        </w:numPr>
        <w:spacing w:after="120" w:line="264" w:lineRule="auto"/>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Noteikumu 1. pielikuma 6.1.sadaļas ZPI prasības un kritēriji </w:t>
      </w:r>
      <w:r w:rsidR="00857760" w:rsidRPr="00315EC7">
        <w:rPr>
          <w:rFonts w:ascii="Times New Roman" w:eastAsia="Times New Roman" w:hAnsi="Times New Roman" w:cs="Times New Roman"/>
          <w:sz w:val="24"/>
          <w:szCs w:val="24"/>
          <w:lang w:eastAsia="ja-JP"/>
        </w:rPr>
        <w:t>Tehniskās specifikācijas izteikt šādā redakcijā: “</w:t>
      </w:r>
      <w:r w:rsidR="00857760" w:rsidRPr="00315EC7">
        <w:rPr>
          <w:rFonts w:ascii="Times New Roman" w:eastAsia="Times New Roman" w:hAnsi="Times New Roman" w:cs="Times New Roman"/>
          <w:sz w:val="24"/>
          <w:szCs w:val="24"/>
          <w:lang w:eastAsia="ja-JP"/>
        </w:rPr>
        <w:t xml:space="preserve">1. GAISMAS ATDEVE </w:t>
      </w:r>
    </w:p>
    <w:p w14:paraId="4A6C55F2" w14:textId="61370659" w:rsidR="00857760" w:rsidRPr="00315EC7" w:rsidRDefault="00857760" w:rsidP="00BE7560">
      <w:pPr>
        <w:pStyle w:val="ListParagraph"/>
        <w:numPr>
          <w:ilvl w:val="1"/>
          <w:numId w:val="3"/>
        </w:numPr>
        <w:spacing w:after="120" w:line="264" w:lineRule="auto"/>
        <w:ind w:hanging="447"/>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Nomaiņas spuldzēm, kas paredzētas esošajām ierīcēm, jābūt tādai  efektivitātei, kas vienāda vai augstāka par attiecīgās enerģijas klases minimālo efektivitāti, kas norādīta tabulā. </w:t>
      </w:r>
    </w:p>
    <w:tbl>
      <w:tblPr>
        <w:tblW w:w="6309" w:type="dxa"/>
        <w:tblInd w:w="1426" w:type="dxa"/>
        <w:tblLayout w:type="fixed"/>
        <w:tblCellMar>
          <w:left w:w="10" w:type="dxa"/>
          <w:right w:w="10" w:type="dxa"/>
        </w:tblCellMar>
        <w:tblLook w:val="0000" w:firstRow="0" w:lastRow="0" w:firstColumn="0" w:lastColumn="0" w:noHBand="0" w:noVBand="0"/>
      </w:tblPr>
      <w:tblGrid>
        <w:gridCol w:w="4981"/>
        <w:gridCol w:w="1328"/>
      </w:tblGrid>
      <w:tr w:rsidR="00857760" w:rsidRPr="00315EC7" w14:paraId="3016A8DF" w14:textId="77777777" w:rsidTr="00857760">
        <w:trPr>
          <w:trHeight w:val="857"/>
        </w:trPr>
        <w:tc>
          <w:tcPr>
            <w:tcW w:w="4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B4F14" w14:textId="77777777" w:rsidR="00857760" w:rsidRPr="00315EC7" w:rsidRDefault="00857760" w:rsidP="001B4D41">
            <w:pPr>
              <w:suppressAutoHyphens/>
              <w:autoSpaceDN w:val="0"/>
              <w:spacing w:after="0" w:line="240" w:lineRule="auto"/>
              <w:jc w:val="center"/>
              <w:textAlignment w:val="baseline"/>
              <w:rPr>
                <w:rFonts w:ascii="Times New Roman" w:eastAsia="Times New Roman" w:hAnsi="Times New Roman" w:cs="Times New Roman"/>
                <w:b/>
                <w:sz w:val="24"/>
                <w:szCs w:val="24"/>
                <w:lang w:eastAsia="ja-JP"/>
              </w:rPr>
            </w:pPr>
            <w:r w:rsidRPr="00315EC7">
              <w:rPr>
                <w:rFonts w:ascii="Times New Roman" w:eastAsia="Times New Roman" w:hAnsi="Times New Roman" w:cs="Times New Roman"/>
                <w:b/>
                <w:sz w:val="24"/>
                <w:szCs w:val="24"/>
                <w:lang w:eastAsia="ja-JP"/>
              </w:rPr>
              <w:t>Spuldzes tips</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58331" w14:textId="77777777" w:rsidR="00857760" w:rsidRPr="00315EC7" w:rsidRDefault="00857760" w:rsidP="001B4D41">
            <w:pPr>
              <w:suppressAutoHyphens/>
              <w:autoSpaceDN w:val="0"/>
              <w:spacing w:after="0" w:line="240" w:lineRule="auto"/>
              <w:jc w:val="center"/>
              <w:textAlignment w:val="baseline"/>
              <w:rPr>
                <w:rFonts w:ascii="Times New Roman" w:eastAsia="Times New Roman" w:hAnsi="Times New Roman" w:cs="Times New Roman"/>
                <w:b/>
                <w:sz w:val="24"/>
                <w:szCs w:val="24"/>
                <w:lang w:eastAsia="ja-JP"/>
              </w:rPr>
            </w:pPr>
            <w:r w:rsidRPr="00315EC7">
              <w:rPr>
                <w:rFonts w:ascii="Times New Roman" w:eastAsia="Times New Roman" w:hAnsi="Times New Roman" w:cs="Times New Roman"/>
                <w:b/>
                <w:sz w:val="24"/>
                <w:szCs w:val="24"/>
                <w:lang w:eastAsia="ja-JP"/>
              </w:rPr>
              <w:t xml:space="preserve">Attiecīgā enerģijas klase </w:t>
            </w:r>
          </w:p>
        </w:tc>
      </w:tr>
      <w:tr w:rsidR="00857760" w:rsidRPr="00315EC7" w14:paraId="2C2670E8" w14:textId="77777777" w:rsidTr="00857760">
        <w:trPr>
          <w:trHeight w:val="280"/>
        </w:trPr>
        <w:tc>
          <w:tcPr>
            <w:tcW w:w="49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94415" w14:textId="77777777" w:rsidR="00857760" w:rsidRPr="00315EC7" w:rsidRDefault="00857760" w:rsidP="001B4D41">
            <w:pPr>
              <w:suppressAutoHyphens/>
              <w:autoSpaceDN w:val="0"/>
              <w:spacing w:after="0" w:line="240" w:lineRule="auto"/>
              <w:textAlignment w:val="baseline"/>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Pārējās spuldzes, tostarp LED un gāzizlādes spuldzes </w:t>
            </w:r>
          </w:p>
        </w:tc>
        <w:tc>
          <w:tcPr>
            <w:tcW w:w="13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C800" w14:textId="77777777" w:rsidR="00857760" w:rsidRPr="00315EC7" w:rsidRDefault="00857760" w:rsidP="001B4D41">
            <w:pPr>
              <w:suppressAutoHyphens/>
              <w:autoSpaceDN w:val="0"/>
              <w:spacing w:after="0" w:line="240" w:lineRule="auto"/>
              <w:textAlignment w:val="baseline"/>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F</w:t>
            </w:r>
          </w:p>
        </w:tc>
      </w:tr>
    </w:tbl>
    <w:p w14:paraId="760F749D" w14:textId="77777777" w:rsidR="00857760" w:rsidRPr="00315EC7" w:rsidRDefault="00857760" w:rsidP="00857760">
      <w:pPr>
        <w:pStyle w:val="ListParagraph"/>
        <w:spacing w:after="120" w:line="264" w:lineRule="auto"/>
        <w:jc w:val="both"/>
        <w:rPr>
          <w:rFonts w:ascii="Times New Roman" w:eastAsia="Times New Roman" w:hAnsi="Times New Roman" w:cs="Times New Roman"/>
          <w:sz w:val="24"/>
          <w:szCs w:val="24"/>
          <w:lang w:eastAsia="ja-JP"/>
        </w:rPr>
      </w:pPr>
    </w:p>
    <w:p w14:paraId="49F9A518" w14:textId="77777777" w:rsidR="00857760" w:rsidRPr="00315EC7" w:rsidRDefault="00857760" w:rsidP="00AB55BA">
      <w:pPr>
        <w:pStyle w:val="ListParagraph"/>
        <w:spacing w:after="120" w:line="264" w:lineRule="auto"/>
        <w:ind w:firstLine="720"/>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Piezīme. Jāizmanto jaunākā energoefektivitātes klases definīcija. </w:t>
      </w:r>
    </w:p>
    <w:p w14:paraId="093F5F84" w14:textId="77777777" w:rsidR="00857760" w:rsidRPr="00315EC7" w:rsidRDefault="00857760" w:rsidP="00857760">
      <w:pPr>
        <w:pStyle w:val="ListParagraph"/>
        <w:spacing w:after="120" w:line="264" w:lineRule="auto"/>
        <w:jc w:val="both"/>
        <w:rPr>
          <w:rFonts w:ascii="Times New Roman" w:eastAsia="Times New Roman" w:hAnsi="Times New Roman" w:cs="Times New Roman"/>
          <w:sz w:val="24"/>
          <w:szCs w:val="24"/>
          <w:lang w:eastAsia="ja-JP"/>
        </w:rPr>
      </w:pPr>
    </w:p>
    <w:p w14:paraId="5F3FFD9A" w14:textId="77777777" w:rsidR="00857760" w:rsidRPr="00315EC7" w:rsidRDefault="00857760" w:rsidP="00AB55BA">
      <w:pPr>
        <w:pStyle w:val="ListParagraph"/>
        <w:spacing w:after="120" w:line="264" w:lineRule="auto"/>
        <w:ind w:left="1440"/>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1.2. Spuldzēm, kas paredzētas jaunām un renovētām ierīcēm, jābūt tādai efektivitātei , kas vienāda vai augstāka par attiecīgās enerģijas klases minimālo efektivitāti, kas norādīta tabulā turpmāk. </w:t>
      </w:r>
    </w:p>
    <w:tbl>
      <w:tblPr>
        <w:tblW w:w="6344" w:type="dxa"/>
        <w:tblInd w:w="977" w:type="dxa"/>
        <w:tblLayout w:type="fixed"/>
        <w:tblCellMar>
          <w:left w:w="10" w:type="dxa"/>
          <w:right w:w="10" w:type="dxa"/>
        </w:tblCellMar>
        <w:tblLook w:val="0000" w:firstRow="0" w:lastRow="0" w:firstColumn="0" w:lastColumn="0" w:noHBand="0" w:noVBand="0"/>
      </w:tblPr>
      <w:tblGrid>
        <w:gridCol w:w="3306"/>
        <w:gridCol w:w="3038"/>
      </w:tblGrid>
      <w:tr w:rsidR="007150D5" w:rsidRPr="007150D5" w14:paraId="553A6EFC" w14:textId="77777777" w:rsidTr="007150D5">
        <w:trPr>
          <w:trHeight w:val="462"/>
        </w:trPr>
        <w:tc>
          <w:tcPr>
            <w:tcW w:w="3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39F28" w14:textId="77777777" w:rsidR="007150D5" w:rsidRPr="007150D5" w:rsidRDefault="007150D5" w:rsidP="007150D5">
            <w:pPr>
              <w:pStyle w:val="ListParagraph"/>
              <w:spacing w:after="120" w:line="264" w:lineRule="auto"/>
              <w:jc w:val="both"/>
              <w:rPr>
                <w:rFonts w:ascii="Times New Roman" w:eastAsia="Times New Roman" w:hAnsi="Times New Roman" w:cs="Times New Roman"/>
                <w:b/>
                <w:sz w:val="24"/>
                <w:szCs w:val="24"/>
                <w:lang w:eastAsia="ja-JP"/>
              </w:rPr>
            </w:pPr>
            <w:r w:rsidRPr="007150D5">
              <w:rPr>
                <w:rFonts w:ascii="Times New Roman" w:eastAsia="Times New Roman" w:hAnsi="Times New Roman" w:cs="Times New Roman"/>
                <w:b/>
                <w:sz w:val="24"/>
                <w:szCs w:val="24"/>
                <w:lang w:eastAsia="ja-JP"/>
              </w:rPr>
              <w:lastRenderedPageBreak/>
              <w:t>Spuldžu tips</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DAA49" w14:textId="77777777" w:rsidR="007150D5" w:rsidRPr="007150D5" w:rsidRDefault="007150D5" w:rsidP="007150D5">
            <w:pPr>
              <w:pStyle w:val="ListParagraph"/>
              <w:spacing w:after="120" w:line="264" w:lineRule="auto"/>
              <w:jc w:val="both"/>
              <w:rPr>
                <w:rFonts w:ascii="Times New Roman" w:eastAsia="Times New Roman" w:hAnsi="Times New Roman" w:cs="Times New Roman"/>
                <w:b/>
                <w:sz w:val="24"/>
                <w:szCs w:val="24"/>
                <w:lang w:eastAsia="ja-JP"/>
              </w:rPr>
            </w:pPr>
            <w:r w:rsidRPr="007150D5">
              <w:rPr>
                <w:rFonts w:ascii="Times New Roman" w:eastAsia="Times New Roman" w:hAnsi="Times New Roman" w:cs="Times New Roman"/>
                <w:b/>
                <w:sz w:val="24"/>
                <w:szCs w:val="24"/>
                <w:lang w:eastAsia="ja-JP"/>
              </w:rPr>
              <w:t>Attiecīgā enerģijas klase</w:t>
            </w:r>
          </w:p>
        </w:tc>
      </w:tr>
      <w:tr w:rsidR="007150D5" w:rsidRPr="007150D5" w14:paraId="30F309EA" w14:textId="77777777" w:rsidTr="007150D5">
        <w:trPr>
          <w:trHeight w:val="1324"/>
        </w:trPr>
        <w:tc>
          <w:tcPr>
            <w:tcW w:w="3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0A9CA" w14:textId="77777777" w:rsidR="007150D5" w:rsidRPr="007150D5" w:rsidRDefault="007150D5" w:rsidP="007150D5">
            <w:pPr>
              <w:pStyle w:val="ListParagraph"/>
              <w:spacing w:after="120" w:line="264" w:lineRule="auto"/>
              <w:jc w:val="both"/>
              <w:rPr>
                <w:rFonts w:ascii="Times New Roman" w:eastAsia="Times New Roman" w:hAnsi="Times New Roman" w:cs="Times New Roman"/>
                <w:sz w:val="24"/>
                <w:szCs w:val="24"/>
                <w:lang w:eastAsia="ja-JP"/>
              </w:rPr>
            </w:pPr>
            <w:r w:rsidRPr="007150D5">
              <w:rPr>
                <w:rFonts w:ascii="Times New Roman" w:eastAsia="Times New Roman" w:hAnsi="Times New Roman" w:cs="Times New Roman"/>
                <w:sz w:val="24"/>
                <w:szCs w:val="24"/>
                <w:lang w:eastAsia="ja-JP"/>
              </w:rPr>
              <w:t xml:space="preserve">Spuldzes  ar krāsu atveidojuma koeficientu Ra&gt;=90 (ja tas ir nepieciešams ēkā veicamajai darbībai) </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E87F8" w14:textId="77777777" w:rsidR="007150D5" w:rsidRPr="007150D5" w:rsidRDefault="007150D5" w:rsidP="007150D5">
            <w:pPr>
              <w:pStyle w:val="ListParagraph"/>
              <w:spacing w:after="120" w:line="264" w:lineRule="auto"/>
              <w:jc w:val="both"/>
              <w:rPr>
                <w:rFonts w:ascii="Times New Roman" w:eastAsia="Times New Roman" w:hAnsi="Times New Roman" w:cs="Times New Roman"/>
                <w:sz w:val="24"/>
                <w:szCs w:val="24"/>
                <w:lang w:eastAsia="ja-JP"/>
              </w:rPr>
            </w:pPr>
            <w:r w:rsidRPr="007150D5">
              <w:rPr>
                <w:rFonts w:ascii="Times New Roman" w:eastAsia="Times New Roman" w:hAnsi="Times New Roman" w:cs="Times New Roman"/>
                <w:sz w:val="24"/>
                <w:szCs w:val="24"/>
                <w:lang w:eastAsia="ja-JP"/>
              </w:rPr>
              <w:t>G</w:t>
            </w:r>
          </w:p>
        </w:tc>
      </w:tr>
      <w:tr w:rsidR="007150D5" w:rsidRPr="007150D5" w14:paraId="549B40D5" w14:textId="77777777" w:rsidTr="007150D5">
        <w:trPr>
          <w:trHeight w:val="446"/>
        </w:trPr>
        <w:tc>
          <w:tcPr>
            <w:tcW w:w="33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02128" w14:textId="77777777" w:rsidR="007150D5" w:rsidRPr="007150D5" w:rsidRDefault="007150D5" w:rsidP="007150D5">
            <w:pPr>
              <w:pStyle w:val="ListParagraph"/>
              <w:spacing w:after="120" w:line="264" w:lineRule="auto"/>
              <w:jc w:val="both"/>
              <w:rPr>
                <w:rFonts w:ascii="Times New Roman" w:eastAsia="Times New Roman" w:hAnsi="Times New Roman" w:cs="Times New Roman"/>
                <w:sz w:val="24"/>
                <w:szCs w:val="24"/>
                <w:lang w:eastAsia="ja-JP"/>
              </w:rPr>
            </w:pPr>
            <w:r w:rsidRPr="007150D5">
              <w:rPr>
                <w:rFonts w:ascii="Times New Roman" w:eastAsia="Times New Roman" w:hAnsi="Times New Roman" w:cs="Times New Roman"/>
                <w:sz w:val="24"/>
                <w:szCs w:val="24"/>
                <w:lang w:eastAsia="ja-JP"/>
              </w:rPr>
              <w:t xml:space="preserve">Pārējās spuldzes </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502DA" w14:textId="77777777" w:rsidR="007150D5" w:rsidRPr="007150D5" w:rsidRDefault="007150D5" w:rsidP="007150D5">
            <w:pPr>
              <w:pStyle w:val="ListParagraph"/>
              <w:spacing w:after="120" w:line="264" w:lineRule="auto"/>
              <w:jc w:val="both"/>
              <w:rPr>
                <w:rFonts w:ascii="Times New Roman" w:eastAsia="Times New Roman" w:hAnsi="Times New Roman" w:cs="Times New Roman"/>
                <w:sz w:val="24"/>
                <w:szCs w:val="24"/>
                <w:lang w:eastAsia="ja-JP"/>
              </w:rPr>
            </w:pPr>
            <w:r w:rsidRPr="007150D5">
              <w:rPr>
                <w:rFonts w:ascii="Times New Roman" w:eastAsia="Times New Roman" w:hAnsi="Times New Roman" w:cs="Times New Roman"/>
                <w:sz w:val="24"/>
                <w:szCs w:val="24"/>
                <w:lang w:eastAsia="ja-JP"/>
              </w:rPr>
              <w:t>F</w:t>
            </w:r>
          </w:p>
        </w:tc>
      </w:tr>
    </w:tbl>
    <w:p w14:paraId="71D7CC99" w14:textId="77777777" w:rsidR="00857760" w:rsidRPr="00315EC7" w:rsidRDefault="00857760" w:rsidP="00857760">
      <w:pPr>
        <w:pStyle w:val="ListParagraph"/>
        <w:spacing w:after="120" w:line="264" w:lineRule="auto"/>
        <w:jc w:val="both"/>
        <w:rPr>
          <w:rFonts w:ascii="Times New Roman" w:eastAsia="Times New Roman" w:hAnsi="Times New Roman" w:cs="Times New Roman"/>
          <w:sz w:val="24"/>
          <w:szCs w:val="24"/>
          <w:lang w:eastAsia="ja-JP"/>
        </w:rPr>
      </w:pPr>
    </w:p>
    <w:p w14:paraId="2EC80772" w14:textId="2FE15071" w:rsidR="00857760" w:rsidRPr="004D4E1A" w:rsidRDefault="00857760" w:rsidP="004D4E1A">
      <w:pPr>
        <w:spacing w:after="120" w:line="264" w:lineRule="auto"/>
        <w:ind w:left="720" w:firstLine="720"/>
        <w:jc w:val="both"/>
        <w:rPr>
          <w:rFonts w:ascii="Times New Roman" w:eastAsia="Times New Roman" w:hAnsi="Times New Roman" w:cs="Times New Roman"/>
          <w:sz w:val="24"/>
          <w:szCs w:val="24"/>
          <w:lang w:eastAsia="ja-JP"/>
        </w:rPr>
      </w:pPr>
      <w:r w:rsidRPr="004D4E1A">
        <w:rPr>
          <w:rFonts w:ascii="Times New Roman" w:eastAsia="Times New Roman" w:hAnsi="Times New Roman" w:cs="Times New Roman"/>
          <w:sz w:val="24"/>
          <w:szCs w:val="24"/>
          <w:lang w:eastAsia="ja-JP"/>
        </w:rPr>
        <w:t>Piezīme. Jāizmanto jaunākā energoefektivitātes klases definīcija</w:t>
      </w:r>
    </w:p>
    <w:p w14:paraId="4AD268DF" w14:textId="77777777" w:rsidR="00857760" w:rsidRPr="004D4E1A" w:rsidRDefault="00857760" w:rsidP="004D4E1A">
      <w:pPr>
        <w:spacing w:after="120" w:line="264" w:lineRule="auto"/>
        <w:ind w:left="208" w:firstLine="720"/>
        <w:jc w:val="both"/>
        <w:rPr>
          <w:rFonts w:ascii="Times New Roman" w:eastAsia="Times New Roman" w:hAnsi="Times New Roman" w:cs="Times New Roman"/>
          <w:sz w:val="24"/>
          <w:szCs w:val="24"/>
          <w:lang w:eastAsia="ja-JP"/>
        </w:rPr>
      </w:pPr>
      <w:r w:rsidRPr="004D4E1A">
        <w:rPr>
          <w:rFonts w:ascii="Times New Roman" w:eastAsia="Times New Roman" w:hAnsi="Times New Roman" w:cs="Times New Roman"/>
          <w:sz w:val="24"/>
          <w:szCs w:val="24"/>
          <w:lang w:eastAsia="ja-JP"/>
        </w:rPr>
        <w:t>2. EKSPLUATĀCIJAS LAIKS</w:t>
      </w:r>
    </w:p>
    <w:p w14:paraId="255071E2" w14:textId="47370B61" w:rsidR="00945FE1" w:rsidRPr="00315EC7" w:rsidRDefault="00857760" w:rsidP="004D4E1A">
      <w:pPr>
        <w:pStyle w:val="ListParagraph"/>
        <w:spacing w:after="120" w:line="264" w:lineRule="auto"/>
        <w:ind w:left="928"/>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Spuldzēm, kas paredzētas jaunām un renovētām ierīcēm, un nomaiņas spuldzēm, kas paredzētas esošajām ierīcēm, jābūt tādam ekspluatācijas laikam, kas nav mazāks parL80B10   pie 50 000 h vaiL70B50  pie 100 000h.</w:t>
      </w:r>
      <w:r w:rsidRPr="00315EC7">
        <w:rPr>
          <w:rFonts w:ascii="Times New Roman" w:eastAsia="Times New Roman" w:hAnsi="Times New Roman" w:cs="Times New Roman"/>
          <w:sz w:val="24"/>
          <w:szCs w:val="24"/>
          <w:lang w:eastAsia="ja-JP"/>
        </w:rPr>
        <w:t>”</w:t>
      </w:r>
    </w:p>
    <w:p w14:paraId="42813AB8" w14:textId="77777777" w:rsidR="008C47DC" w:rsidRPr="00315EC7" w:rsidRDefault="00A82C3E" w:rsidP="008C47DC">
      <w:pPr>
        <w:pStyle w:val="ListParagraph"/>
        <w:numPr>
          <w:ilvl w:val="0"/>
          <w:numId w:val="1"/>
        </w:numPr>
        <w:suppressAutoHyphens/>
        <w:autoSpaceDN w:val="0"/>
        <w:spacing w:after="121" w:line="240" w:lineRule="auto"/>
        <w:jc w:val="both"/>
        <w:textAlignment w:val="baseline"/>
        <w:rPr>
          <w:rFonts w:ascii="Times New Roman" w:eastAsia="Calibri" w:hAnsi="Times New Roman" w:cs="Times New Roman"/>
          <w:sz w:val="24"/>
          <w:szCs w:val="24"/>
          <w:lang w:eastAsia="ja-JP"/>
        </w:rPr>
      </w:pPr>
      <w:r w:rsidRPr="00315EC7">
        <w:rPr>
          <w:rFonts w:ascii="Times New Roman" w:eastAsia="Times New Roman" w:hAnsi="Times New Roman" w:cs="Times New Roman"/>
          <w:sz w:val="24"/>
          <w:szCs w:val="24"/>
          <w:lang w:eastAsia="ja-JP"/>
        </w:rPr>
        <w:t xml:space="preserve">Noteikumu 1. pielikuma 6.1.sadaļas ZPI prasības un kritēriji Piedāvājuma izvērtēšanas kritēriji izteikt šādā redakcijā: </w:t>
      </w:r>
    </w:p>
    <w:p w14:paraId="2606EA75" w14:textId="257988C9" w:rsidR="00A82C3E" w:rsidRPr="00315EC7" w:rsidRDefault="00A82C3E" w:rsidP="004D4E1A">
      <w:pPr>
        <w:pStyle w:val="ListParagraph"/>
        <w:suppressAutoHyphens/>
        <w:autoSpaceDN w:val="0"/>
        <w:spacing w:after="121" w:line="240" w:lineRule="auto"/>
        <w:ind w:firstLine="208"/>
        <w:jc w:val="both"/>
        <w:textAlignment w:val="baseline"/>
        <w:rPr>
          <w:rFonts w:ascii="Times New Roman" w:eastAsia="Calibri" w:hAnsi="Times New Roman" w:cs="Times New Roman"/>
          <w:sz w:val="24"/>
          <w:szCs w:val="24"/>
          <w:lang w:eastAsia="ja-JP"/>
        </w:rPr>
      </w:pPr>
      <w:r w:rsidRPr="00315EC7">
        <w:rPr>
          <w:rFonts w:ascii="Times New Roman" w:eastAsia="Times New Roman" w:hAnsi="Times New Roman" w:cs="Times New Roman"/>
          <w:sz w:val="24"/>
          <w:szCs w:val="24"/>
          <w:lang w:eastAsia="ja-JP"/>
        </w:rPr>
        <w:t>“</w:t>
      </w:r>
      <w:r w:rsidRPr="00315EC7">
        <w:rPr>
          <w:rFonts w:ascii="Times New Roman" w:eastAsia="Calibri" w:hAnsi="Times New Roman" w:cs="Times New Roman"/>
          <w:sz w:val="24"/>
          <w:szCs w:val="24"/>
          <w:lang w:eastAsia="ja-JP"/>
        </w:rPr>
        <w:t>1. EKSPLUATĀCIJAS LAIKS</w:t>
      </w:r>
    </w:p>
    <w:p w14:paraId="25BC73FD" w14:textId="27491177" w:rsidR="007150D5" w:rsidRPr="00315EC7" w:rsidRDefault="00A82C3E" w:rsidP="004D4E1A">
      <w:pPr>
        <w:pStyle w:val="ListParagraph"/>
        <w:spacing w:after="120" w:line="264" w:lineRule="auto"/>
        <w:ind w:left="928"/>
        <w:jc w:val="both"/>
        <w:rPr>
          <w:rFonts w:ascii="Times New Roman" w:eastAsia="Calibri" w:hAnsi="Times New Roman" w:cs="Times New Roman"/>
          <w:sz w:val="24"/>
          <w:szCs w:val="24"/>
          <w:lang w:eastAsia="ja-JP"/>
        </w:rPr>
      </w:pPr>
      <w:r w:rsidRPr="00315EC7">
        <w:rPr>
          <w:rFonts w:ascii="Times New Roman" w:eastAsia="Calibri" w:hAnsi="Times New Roman" w:cs="Times New Roman"/>
          <w:sz w:val="24"/>
          <w:szCs w:val="24"/>
          <w:lang w:eastAsia="ja-JP"/>
        </w:rPr>
        <w:t>Papildus punktus piešķir, ja spuldzes  ekspluatācijas laiks ir  lielāks nekā L80B10  pie 50 000 L90B50 pie 50 000 h vai L70B50 – 100 000 L80B50 pie 100 000h.</w:t>
      </w:r>
      <w:r w:rsidR="008C47DC" w:rsidRPr="00315EC7">
        <w:rPr>
          <w:rFonts w:ascii="Times New Roman" w:eastAsia="Calibri" w:hAnsi="Times New Roman" w:cs="Times New Roman"/>
          <w:sz w:val="24"/>
          <w:szCs w:val="24"/>
          <w:lang w:eastAsia="ja-JP"/>
        </w:rPr>
        <w:t>”</w:t>
      </w:r>
    </w:p>
    <w:p w14:paraId="6A010393" w14:textId="77777777" w:rsidR="004D6E87" w:rsidRPr="00315EC7" w:rsidRDefault="004D6E87" w:rsidP="004D6E87">
      <w:pPr>
        <w:pStyle w:val="ListParagraph"/>
        <w:numPr>
          <w:ilvl w:val="0"/>
          <w:numId w:val="1"/>
        </w:numPr>
        <w:spacing w:after="120" w:line="264" w:lineRule="auto"/>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Noteikumu 1. pielikuma 6.2. sadaļas ZPI prasības un kritēriji Tehniskās specifikācijas 2. punktu izteikt šādā redakcijā: “</w:t>
      </w:r>
      <w:r w:rsidRPr="00315EC7">
        <w:rPr>
          <w:rFonts w:ascii="Times New Roman" w:eastAsia="Times New Roman" w:hAnsi="Times New Roman" w:cs="Times New Roman"/>
          <w:sz w:val="24"/>
          <w:szCs w:val="24"/>
          <w:lang w:eastAsia="ja-JP"/>
        </w:rPr>
        <w:t>2. APGAISMOJUMA NORMALIZĒTĀ ĪPATNĒJĀ JAUDA</w:t>
      </w:r>
    </w:p>
    <w:p w14:paraId="392FD195" w14:textId="7B49FA88" w:rsidR="008C47DC" w:rsidRPr="00315EC7" w:rsidRDefault="004D6E87" w:rsidP="004D4E1A">
      <w:pPr>
        <w:pStyle w:val="ListParagraph"/>
        <w:spacing w:after="120" w:line="264" w:lineRule="auto"/>
        <w:ind w:left="928"/>
        <w:jc w:val="both"/>
        <w:rPr>
          <w:rFonts w:ascii="Times New Roman" w:eastAsia="Times New Roman" w:hAnsi="Times New Roman" w:cs="Times New Roman"/>
          <w:sz w:val="24"/>
          <w:szCs w:val="24"/>
          <w:lang w:eastAsia="ja-JP"/>
        </w:rPr>
      </w:pPr>
      <w:r w:rsidRPr="00315EC7">
        <w:rPr>
          <w:rFonts w:ascii="Times New Roman" w:eastAsia="Times New Roman" w:hAnsi="Times New Roman" w:cs="Times New Roman"/>
          <w:sz w:val="24"/>
          <w:szCs w:val="24"/>
          <w:lang w:eastAsia="ja-JP"/>
        </w:rPr>
        <w:t>Ja apgaismojumu uzstāda individuālā vietā vai ēkas daļā, apgaismojuma maksimālā patērētā jauda šajā vietā, dalot ar kopējo platību un ar tās apgaismotību, kas izteikta 100 luksu vienībās, nedrīkst pārsniegt zemāk norādītās vērtības.</w:t>
      </w:r>
    </w:p>
    <w:tbl>
      <w:tblPr>
        <w:tblpPr w:leftFromText="180" w:rightFromText="180" w:horzAnchor="margin" w:tblpXSpec="center" w:tblpY="-389"/>
        <w:tblW w:w="6407" w:type="dxa"/>
        <w:tblLayout w:type="fixed"/>
        <w:tblCellMar>
          <w:left w:w="10" w:type="dxa"/>
          <w:right w:w="10" w:type="dxa"/>
        </w:tblCellMar>
        <w:tblLook w:val="0000" w:firstRow="0" w:lastRow="0" w:firstColumn="0" w:lastColumn="0" w:noHBand="0" w:noVBand="0"/>
      </w:tblPr>
      <w:tblGrid>
        <w:gridCol w:w="4423"/>
        <w:gridCol w:w="1984"/>
      </w:tblGrid>
      <w:tr w:rsidR="00EA5C99" w:rsidRPr="00EA5C99" w14:paraId="405A0E95"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65FE0" w14:textId="77777777" w:rsidR="00EA5C99" w:rsidRPr="00EA5C99" w:rsidRDefault="00EA5C99" w:rsidP="008C6F6F">
            <w:pPr>
              <w:pStyle w:val="ListParagraph"/>
              <w:spacing w:after="0" w:line="264" w:lineRule="auto"/>
              <w:jc w:val="both"/>
              <w:rPr>
                <w:rFonts w:ascii="Times New Roman" w:eastAsia="Times New Roman" w:hAnsi="Times New Roman" w:cs="Times New Roman"/>
                <w:b/>
                <w:sz w:val="24"/>
                <w:szCs w:val="24"/>
                <w:lang w:eastAsia="ja-JP"/>
              </w:rPr>
            </w:pPr>
            <w:r w:rsidRPr="00EA5C99">
              <w:rPr>
                <w:rFonts w:ascii="Times New Roman" w:eastAsia="Times New Roman" w:hAnsi="Times New Roman" w:cs="Times New Roman"/>
                <w:b/>
                <w:sz w:val="24"/>
                <w:szCs w:val="24"/>
                <w:lang w:eastAsia="ja-JP"/>
              </w:rPr>
              <w:lastRenderedPageBreak/>
              <w:t>Telpas veids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90166" w14:textId="77777777" w:rsidR="00EA5C99" w:rsidRPr="00EA5C99" w:rsidRDefault="00EA5C99" w:rsidP="008C6F6F">
            <w:pPr>
              <w:pStyle w:val="ListParagraph"/>
              <w:spacing w:after="0" w:line="264" w:lineRule="auto"/>
              <w:ind w:left="-3" w:firstLine="3"/>
              <w:jc w:val="both"/>
              <w:rPr>
                <w:rFonts w:ascii="Times New Roman" w:eastAsia="Times New Roman" w:hAnsi="Times New Roman" w:cs="Times New Roman"/>
                <w:b/>
                <w:sz w:val="24"/>
                <w:szCs w:val="24"/>
                <w:lang w:eastAsia="ja-JP"/>
              </w:rPr>
            </w:pPr>
            <w:r w:rsidRPr="00EA5C99">
              <w:rPr>
                <w:rFonts w:ascii="Times New Roman" w:eastAsia="Times New Roman" w:hAnsi="Times New Roman" w:cs="Times New Roman"/>
                <w:b/>
                <w:sz w:val="24"/>
                <w:szCs w:val="24"/>
                <w:lang w:eastAsia="ja-JP"/>
              </w:rPr>
              <w:t>Apgaismojuma normalizētā</w:t>
            </w:r>
          </w:p>
          <w:p w14:paraId="0AC7648C" w14:textId="77777777" w:rsidR="00EA5C99" w:rsidRPr="00EA5C99" w:rsidRDefault="00EA5C99" w:rsidP="008C6F6F">
            <w:pPr>
              <w:pStyle w:val="ListParagraph"/>
              <w:spacing w:after="0" w:line="264" w:lineRule="auto"/>
              <w:ind w:left="-3" w:firstLine="3"/>
              <w:jc w:val="both"/>
              <w:rPr>
                <w:rFonts w:ascii="Times New Roman" w:eastAsia="Times New Roman" w:hAnsi="Times New Roman" w:cs="Times New Roman"/>
                <w:b/>
                <w:sz w:val="24"/>
                <w:szCs w:val="24"/>
                <w:lang w:eastAsia="ja-JP"/>
              </w:rPr>
            </w:pPr>
            <w:r w:rsidRPr="00EA5C99">
              <w:rPr>
                <w:rFonts w:ascii="Times New Roman" w:eastAsia="Times New Roman" w:hAnsi="Times New Roman" w:cs="Times New Roman"/>
                <w:b/>
                <w:sz w:val="24"/>
                <w:szCs w:val="24"/>
                <w:lang w:eastAsia="ja-JP"/>
              </w:rPr>
              <w:t>īpatnējā jauda</w:t>
            </w:r>
          </w:p>
          <w:p w14:paraId="1E691512" w14:textId="77777777" w:rsidR="00EA5C99" w:rsidRPr="00EA5C99" w:rsidRDefault="00EA5C99" w:rsidP="008C6F6F">
            <w:pPr>
              <w:pStyle w:val="ListParagraph"/>
              <w:spacing w:after="0" w:line="264" w:lineRule="auto"/>
              <w:ind w:left="0"/>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i/>
                <w:sz w:val="24"/>
                <w:szCs w:val="24"/>
                <w:lang w:eastAsia="ja-JP"/>
              </w:rPr>
              <w:t>(W/m</w:t>
            </w:r>
            <w:r w:rsidRPr="00EA5C99">
              <w:rPr>
                <w:rFonts w:ascii="Times New Roman" w:eastAsia="Times New Roman" w:hAnsi="Times New Roman" w:cs="Times New Roman"/>
                <w:i/>
                <w:sz w:val="24"/>
                <w:szCs w:val="24"/>
                <w:vertAlign w:val="superscript"/>
                <w:lang w:eastAsia="ja-JP"/>
              </w:rPr>
              <w:t>2</w:t>
            </w:r>
            <w:r w:rsidRPr="00EA5C99">
              <w:rPr>
                <w:rFonts w:ascii="Times New Roman" w:eastAsia="Times New Roman" w:hAnsi="Times New Roman" w:cs="Times New Roman"/>
                <w:i/>
                <w:sz w:val="24"/>
                <w:szCs w:val="24"/>
                <w:lang w:eastAsia="ja-JP"/>
              </w:rPr>
              <w:t>/100 lx)</w:t>
            </w:r>
          </w:p>
        </w:tc>
      </w:tr>
      <w:tr w:rsidR="00EA5C99" w:rsidRPr="00EA5C99" w14:paraId="32D22329"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4910"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Guļamistabas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5C9F9"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7,5</w:t>
            </w:r>
          </w:p>
        </w:tc>
      </w:tr>
      <w:tr w:rsidR="00EA5C99" w:rsidRPr="00EA5C99" w14:paraId="7E94C73C"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B9D3B"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Ēdnīcas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BC942"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3,5</w:t>
            </w:r>
          </w:p>
        </w:tc>
      </w:tr>
      <w:tr w:rsidR="00EA5C99" w:rsidRPr="00EA5C99" w14:paraId="2824AD85"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C35F8"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Autostāvvietas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F3798"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2,2</w:t>
            </w:r>
          </w:p>
        </w:tc>
      </w:tr>
      <w:tr w:rsidR="00EA5C99" w:rsidRPr="00EA5C99" w14:paraId="0DA1FF24"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17EFE"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Kustības telpas, tostarp lifti, kāpņu telpas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1882C"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3,2</w:t>
            </w:r>
          </w:p>
        </w:tc>
      </w:tr>
      <w:tr w:rsidR="00EA5C99" w:rsidRPr="00EA5C99" w14:paraId="5226C397"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5C4FF"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Konferenču telpas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337F7"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2,8</w:t>
            </w:r>
          </w:p>
        </w:tc>
      </w:tr>
      <w:tr w:rsidR="00EA5C99" w:rsidRPr="00EA5C99" w14:paraId="06FFCDAE"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2A4EEC"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Sporta zāles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2901F"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2,8</w:t>
            </w:r>
          </w:p>
        </w:tc>
      </w:tr>
      <w:tr w:rsidR="00EA5C99" w:rsidRPr="00EA5C99" w14:paraId="7EBCA340"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24C94"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Vestibili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07E5E"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2,8</w:t>
            </w:r>
          </w:p>
        </w:tc>
      </w:tr>
      <w:tr w:rsidR="00EA5C99" w:rsidRPr="00EA5C99" w14:paraId="610B1ED9"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FDCEA"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Slimnīcu palātas un procedūru telpas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AD0DB"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4</w:t>
            </w:r>
          </w:p>
        </w:tc>
      </w:tr>
      <w:tr w:rsidR="00EA5C99" w:rsidRPr="00EA5C99" w14:paraId="564BB757"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B5B01"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Virtuves (mājsaimniecību)</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EE59F"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5</w:t>
            </w:r>
          </w:p>
        </w:tc>
      </w:tr>
      <w:tr w:rsidR="00EA5C99" w:rsidRPr="00EA5C99" w14:paraId="73D6C632"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56662"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Virtuves (restorānu)</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5915E"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2,8</w:t>
            </w:r>
          </w:p>
        </w:tc>
      </w:tr>
      <w:tr w:rsidR="00EA5C99" w:rsidRPr="00EA5C99" w14:paraId="08C88DD4"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E6088"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Laboratorijas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9F854"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2,8</w:t>
            </w:r>
          </w:p>
        </w:tc>
      </w:tr>
      <w:tr w:rsidR="00EA5C99" w:rsidRPr="00EA5C99" w14:paraId="4462DC2E"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5B34B"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Bibliotēkas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BFD58"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3,2</w:t>
            </w:r>
          </w:p>
        </w:tc>
      </w:tr>
      <w:tr w:rsidR="00EA5C99" w:rsidRPr="00EA5C99" w14:paraId="6A641468"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A5A7EE"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Atpūtas telpas — lielas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8196C"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6</w:t>
            </w:r>
          </w:p>
        </w:tc>
      </w:tr>
      <w:tr w:rsidR="00EA5C99" w:rsidRPr="00EA5C99" w14:paraId="25D53FD1"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FC142"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Atpūtas telpas — mazas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5D4E6"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7,5</w:t>
            </w:r>
          </w:p>
        </w:tc>
      </w:tr>
      <w:tr w:rsidR="00EA5C99" w:rsidRPr="00EA5C99" w14:paraId="2673942E"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DFA9D"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Biroji (atvērtais plānojums)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409AA"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2,3</w:t>
            </w:r>
          </w:p>
        </w:tc>
      </w:tr>
      <w:tr w:rsidR="00EA5C99" w:rsidRPr="00EA5C99" w14:paraId="3463C0CE"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86A63"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Biroji (nodalītā tipa)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6269A"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w:t>
            </w:r>
          </w:p>
        </w:tc>
      </w:tr>
      <w:tr w:rsidR="00EA5C99" w:rsidRPr="00EA5C99" w14:paraId="5678EC1C"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E87706"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Rūpnīcu telpas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B195C"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3,2</w:t>
            </w:r>
          </w:p>
        </w:tc>
      </w:tr>
      <w:tr w:rsidR="00EA5C99" w:rsidRPr="00EA5C99" w14:paraId="32456344"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6DA97"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Pasta telpas/vadības pultis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CCCB1"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3,2</w:t>
            </w:r>
          </w:p>
        </w:tc>
      </w:tr>
      <w:tr w:rsidR="00EA5C99" w:rsidRPr="00EA5C99" w14:paraId="5538C4FC"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DEDB0"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Cietumu kameras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44570"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4</w:t>
            </w:r>
          </w:p>
        </w:tc>
      </w:tr>
      <w:tr w:rsidR="00EA5C99" w:rsidRPr="00EA5C99" w14:paraId="194434A2"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E9D594"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Reģistrācijas vieta (piem. slimnīcā/viesnīcā)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B38D66"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4</w:t>
            </w:r>
          </w:p>
        </w:tc>
      </w:tr>
      <w:tr w:rsidR="00EA5C99" w:rsidRPr="00EA5C99" w14:paraId="75D8C4D2"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3F5A1"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Tualetes, vannas istabas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305F7"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5</w:t>
            </w:r>
          </w:p>
        </w:tc>
      </w:tr>
      <w:tr w:rsidR="00EA5C99" w:rsidRPr="00EA5C99" w14:paraId="79ACA08A"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3A24E"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Mazumtirdzniecības telpas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6411B"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3,5</w:t>
            </w:r>
          </w:p>
        </w:tc>
      </w:tr>
      <w:tr w:rsidR="00EA5C99" w:rsidRPr="00EA5C99" w14:paraId="176359B2"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7D85F"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Mācību telpas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4B9A9"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2,3</w:t>
            </w:r>
          </w:p>
        </w:tc>
      </w:tr>
      <w:tr w:rsidR="00EA5C99" w:rsidRPr="00EA5C99" w14:paraId="3F554FA8"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4B836"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Noliktavas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BD272"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3,2</w:t>
            </w:r>
          </w:p>
        </w:tc>
      </w:tr>
      <w:tr w:rsidR="00EA5C99" w:rsidRPr="00EA5C99" w14:paraId="1AD3A248" w14:textId="77777777" w:rsidTr="00EA5C99">
        <w:tc>
          <w:tcPr>
            <w:tcW w:w="4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DBDC4" w14:textId="77777777" w:rsidR="00EA5C99" w:rsidRPr="00EA5C99" w:rsidRDefault="00EA5C99" w:rsidP="008C6F6F">
            <w:pPr>
              <w:pStyle w:val="ListParagraph"/>
              <w:spacing w:after="0" w:line="264" w:lineRule="auto"/>
              <w:jc w:val="both"/>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 xml:space="preserve">Uzgaidāmās telpas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5EAF5" w14:textId="77777777" w:rsidR="00EA5C99" w:rsidRPr="00EA5C99" w:rsidRDefault="00EA5C99" w:rsidP="008C6F6F">
            <w:pPr>
              <w:pStyle w:val="ListParagraph"/>
              <w:spacing w:after="0" w:line="264" w:lineRule="auto"/>
              <w:rPr>
                <w:rFonts w:ascii="Times New Roman" w:eastAsia="Times New Roman" w:hAnsi="Times New Roman" w:cs="Times New Roman"/>
                <w:sz w:val="24"/>
                <w:szCs w:val="24"/>
                <w:lang w:eastAsia="ja-JP"/>
              </w:rPr>
            </w:pPr>
            <w:r w:rsidRPr="00EA5C99">
              <w:rPr>
                <w:rFonts w:ascii="Times New Roman" w:eastAsia="Times New Roman" w:hAnsi="Times New Roman" w:cs="Times New Roman"/>
                <w:sz w:val="24"/>
                <w:szCs w:val="24"/>
                <w:lang w:eastAsia="ja-JP"/>
              </w:rPr>
              <w:t>3,2</w:t>
            </w:r>
          </w:p>
        </w:tc>
      </w:tr>
    </w:tbl>
    <w:p w14:paraId="601D23F2" w14:textId="77777777" w:rsidR="00C215C9" w:rsidRPr="00315EC7" w:rsidRDefault="00C215C9" w:rsidP="004D6E87">
      <w:pPr>
        <w:pStyle w:val="ListParagraph"/>
        <w:spacing w:after="120" w:line="264" w:lineRule="auto"/>
        <w:jc w:val="both"/>
        <w:rPr>
          <w:rFonts w:ascii="Times New Roman" w:eastAsia="Times New Roman" w:hAnsi="Times New Roman" w:cs="Times New Roman"/>
          <w:sz w:val="24"/>
          <w:szCs w:val="24"/>
          <w:lang w:eastAsia="ja-JP"/>
        </w:rPr>
      </w:pPr>
    </w:p>
    <w:p w14:paraId="111CBB32" w14:textId="546FED1B" w:rsidR="004558F8" w:rsidRPr="00315EC7" w:rsidRDefault="004558F8" w:rsidP="004558F8">
      <w:pPr>
        <w:rPr>
          <w:rFonts w:ascii="Times New Roman" w:hAnsi="Times New Roman" w:cs="Times New Roman"/>
          <w:sz w:val="24"/>
          <w:szCs w:val="24"/>
        </w:rPr>
      </w:pPr>
    </w:p>
    <w:p w14:paraId="18934BCC" w14:textId="77777777" w:rsidR="00405D73" w:rsidRPr="00315EC7" w:rsidRDefault="00405D73" w:rsidP="00923629">
      <w:pPr>
        <w:rPr>
          <w:rFonts w:ascii="Times New Roman" w:hAnsi="Times New Roman" w:cs="Times New Roman"/>
          <w:sz w:val="24"/>
          <w:szCs w:val="24"/>
        </w:rPr>
      </w:pPr>
    </w:p>
    <w:p w14:paraId="2DDED8D6" w14:textId="75D2BBF6" w:rsidR="003051F7" w:rsidRPr="00315EC7" w:rsidRDefault="003051F7">
      <w:pPr>
        <w:rPr>
          <w:rFonts w:ascii="Times New Roman" w:hAnsi="Times New Roman" w:cs="Times New Roman"/>
          <w:sz w:val="24"/>
          <w:szCs w:val="24"/>
        </w:rPr>
      </w:pPr>
    </w:p>
    <w:p w14:paraId="3081BCFC" w14:textId="7C3BE9AF" w:rsidR="00EA5C99" w:rsidRPr="00315EC7" w:rsidRDefault="00EA5C99">
      <w:pPr>
        <w:rPr>
          <w:rFonts w:ascii="Times New Roman" w:hAnsi="Times New Roman" w:cs="Times New Roman"/>
          <w:sz w:val="24"/>
          <w:szCs w:val="24"/>
        </w:rPr>
      </w:pPr>
    </w:p>
    <w:p w14:paraId="1F7E2317" w14:textId="202720C5" w:rsidR="00EA5C99" w:rsidRPr="00315EC7" w:rsidRDefault="00EA5C99" w:rsidP="00E571A1">
      <w:pPr>
        <w:keepNext/>
        <w:keepLines/>
        <w:suppressAutoHyphens/>
        <w:autoSpaceDN w:val="0"/>
        <w:spacing w:before="91" w:after="91" w:line="240" w:lineRule="auto"/>
        <w:ind w:left="720"/>
        <w:textAlignment w:val="baseline"/>
        <w:outlineLvl w:val="1"/>
        <w:rPr>
          <w:rFonts w:ascii="Times New Roman" w:eastAsia="Times New Roman" w:hAnsi="Times New Roman" w:cs="Times New Roman"/>
          <w:bCs/>
          <w:sz w:val="24"/>
          <w:szCs w:val="24"/>
        </w:rPr>
      </w:pPr>
      <w:r w:rsidRPr="00315EC7">
        <w:rPr>
          <w:rFonts w:ascii="Times New Roman" w:eastAsia="Times New Roman" w:hAnsi="Times New Roman" w:cs="Times New Roman"/>
          <w:bCs/>
          <w:sz w:val="24"/>
          <w:szCs w:val="24"/>
        </w:rPr>
        <w:t>Minimālā gaismas atdeve 100 lm/W, gaismekļa gaismas avota izstarotās gaismas mirdzēšana ne lielāka kā 20%.</w:t>
      </w:r>
    </w:p>
    <w:p w14:paraId="05C433C5" w14:textId="4A070F9F" w:rsidR="0000728D" w:rsidRPr="00315EC7" w:rsidRDefault="0000728D" w:rsidP="0000728D">
      <w:pPr>
        <w:pStyle w:val="ListParagraph"/>
        <w:numPr>
          <w:ilvl w:val="0"/>
          <w:numId w:val="1"/>
        </w:numPr>
        <w:spacing w:after="120" w:line="264" w:lineRule="auto"/>
        <w:jc w:val="both"/>
        <w:rPr>
          <w:rFonts w:ascii="Times New Roman" w:eastAsia="Times New Roman" w:hAnsi="Times New Roman" w:cs="Times New Roman"/>
          <w:sz w:val="24"/>
          <w:szCs w:val="24"/>
        </w:rPr>
      </w:pPr>
      <w:r w:rsidRPr="00315EC7">
        <w:rPr>
          <w:rFonts w:ascii="Times New Roman" w:eastAsia="Times New Roman" w:hAnsi="Times New Roman" w:cs="Times New Roman"/>
          <w:bCs/>
          <w:sz w:val="24"/>
          <w:szCs w:val="24"/>
        </w:rPr>
        <w:t>Noteikumu 1. pielikuma 6.2. sadaļas ZPI prasības un kritēriji Piedāvājuma izvērtēšanas kritēriji 2. punktu izteikt šādā redakcijā: “</w:t>
      </w:r>
      <w:r w:rsidRPr="00315EC7">
        <w:rPr>
          <w:rFonts w:ascii="Times New Roman" w:eastAsia="Times New Roman" w:hAnsi="Times New Roman" w:cs="Times New Roman"/>
          <w:sz w:val="24"/>
          <w:szCs w:val="24"/>
          <w:lang w:eastAsia="ja-JP"/>
        </w:rPr>
        <w:t xml:space="preserve">2. </w:t>
      </w:r>
      <w:r w:rsidRPr="00315EC7">
        <w:rPr>
          <w:rFonts w:ascii="Times New Roman" w:eastAsia="Times New Roman" w:hAnsi="Times New Roman" w:cs="Times New Roman"/>
          <w:sz w:val="24"/>
          <w:szCs w:val="24"/>
        </w:rPr>
        <w:t>APGAISMOJUMS, KAS NEMIRGO</w:t>
      </w:r>
    </w:p>
    <w:p w14:paraId="5302D180" w14:textId="3348FECC" w:rsidR="0000728D" w:rsidRPr="00315EC7" w:rsidRDefault="0000728D" w:rsidP="00ED11E5">
      <w:pPr>
        <w:suppressAutoHyphens/>
        <w:autoSpaceDN w:val="0"/>
        <w:spacing w:before="91" w:after="91" w:line="240" w:lineRule="auto"/>
        <w:ind w:left="928"/>
        <w:jc w:val="both"/>
        <w:textAlignment w:val="baseline"/>
        <w:rPr>
          <w:rFonts w:ascii="Times New Roman" w:eastAsia="Times New Roman" w:hAnsi="Times New Roman" w:cs="Times New Roman"/>
          <w:sz w:val="24"/>
          <w:szCs w:val="24"/>
          <w:lang w:eastAsia="ja-JP"/>
        </w:rPr>
      </w:pPr>
      <w:r w:rsidRPr="00315EC7">
        <w:rPr>
          <w:rFonts w:ascii="Times New Roman" w:eastAsia="Times New Roman" w:hAnsi="Times New Roman" w:cs="Times New Roman"/>
          <w:bCs/>
          <w:sz w:val="24"/>
          <w:szCs w:val="24"/>
        </w:rPr>
        <w:t xml:space="preserve">Papildus punktus piešķir, ja apgaismojumam ir veikti apgaismojuma mirgošanas (flickering) testi, kas apliecina  lampas nemirgošanu tās darbības laikā. Piemēram, </w:t>
      </w:r>
      <w:r w:rsidRPr="00315EC7">
        <w:rPr>
          <w:rFonts w:ascii="Times New Roman" w:hAnsi="Times New Roman" w:cs="Times New Roman"/>
          <w:sz w:val="24"/>
          <w:szCs w:val="24"/>
        </w:rPr>
        <w:t>minimālā prasība apgaismojuma mirgošanai varētu būt vienāds vai mazāks par 20%, papildus punktus piešķir ja tas ir zemāks par 5%.</w:t>
      </w:r>
      <w:r w:rsidRPr="00315EC7">
        <w:rPr>
          <w:rFonts w:ascii="Times New Roman" w:hAnsi="Times New Roman" w:cs="Times New Roman"/>
          <w:sz w:val="24"/>
          <w:szCs w:val="24"/>
        </w:rPr>
        <w:t>”</w:t>
      </w:r>
    </w:p>
    <w:p w14:paraId="1820E1F6" w14:textId="7E941B31" w:rsidR="00EA5C99" w:rsidRPr="00315EC7" w:rsidRDefault="002C4709" w:rsidP="001C3B2C">
      <w:pPr>
        <w:pStyle w:val="ListParagraph"/>
        <w:numPr>
          <w:ilvl w:val="0"/>
          <w:numId w:val="1"/>
        </w:numPr>
        <w:spacing w:after="120" w:line="264" w:lineRule="auto"/>
        <w:jc w:val="both"/>
        <w:rPr>
          <w:rFonts w:ascii="Times New Roman" w:eastAsia="SimSun" w:hAnsi="Times New Roman" w:cs="Times New Roman"/>
          <w:sz w:val="24"/>
          <w:szCs w:val="24"/>
          <w:lang w:eastAsia="ja-JP"/>
        </w:rPr>
      </w:pPr>
      <w:r w:rsidRPr="00315EC7">
        <w:rPr>
          <w:rFonts w:ascii="Times New Roman" w:eastAsia="Times New Roman" w:hAnsi="Times New Roman" w:cs="Times New Roman"/>
          <w:bCs/>
          <w:sz w:val="24"/>
          <w:szCs w:val="24"/>
        </w:rPr>
        <w:t xml:space="preserve">Noteikumu 1. pielikuma 7.1. sadaļas ZPI prasības un kritēriji </w:t>
      </w:r>
      <w:r w:rsidR="00966996" w:rsidRPr="00315EC7">
        <w:rPr>
          <w:rFonts w:ascii="Times New Roman" w:eastAsia="Times New Roman" w:hAnsi="Times New Roman" w:cs="Times New Roman"/>
          <w:bCs/>
          <w:sz w:val="24"/>
          <w:szCs w:val="24"/>
        </w:rPr>
        <w:t>Tehniskās specifikācijas 4. punktu izteikt šādā redakcijā: “</w:t>
      </w:r>
      <w:r w:rsidR="00966996" w:rsidRPr="00315EC7">
        <w:rPr>
          <w:rFonts w:ascii="Times New Roman" w:eastAsia="SimSun" w:hAnsi="Times New Roman" w:cs="Times New Roman"/>
          <w:sz w:val="24"/>
          <w:szCs w:val="24"/>
          <w:lang w:eastAsia="ja-JP"/>
        </w:rPr>
        <w:t xml:space="preserve">4.  </w:t>
      </w:r>
      <w:r w:rsidR="00966996" w:rsidRPr="00315EC7">
        <w:rPr>
          <w:rFonts w:ascii="Times New Roman" w:eastAsia="SimSun" w:hAnsi="Times New Roman" w:cs="Times New Roman"/>
          <w:sz w:val="24"/>
          <w:szCs w:val="24"/>
        </w:rPr>
        <w:t xml:space="preserve"> </w:t>
      </w:r>
      <w:r w:rsidR="00966996" w:rsidRPr="00315EC7">
        <w:rPr>
          <w:rFonts w:ascii="Times New Roman" w:eastAsia="SimSun" w:hAnsi="Times New Roman" w:cs="Times New Roman"/>
          <w:sz w:val="24"/>
          <w:szCs w:val="24"/>
          <w:lang w:eastAsia="ja-JP"/>
        </w:rPr>
        <w:t>RAŽOJUMU EKSPLUATĀCIJAS LAIKS, REZERVES DAĻAS UN GARANTIJA</w:t>
      </w:r>
      <w:r w:rsidR="00966996" w:rsidRPr="00315EC7">
        <w:rPr>
          <w:rFonts w:ascii="Times New Roman" w:eastAsia="SimSun" w:hAnsi="Times New Roman" w:cs="Times New Roman"/>
          <w:sz w:val="24"/>
          <w:szCs w:val="24"/>
          <w:lang w:eastAsia="ja-JP"/>
        </w:rPr>
        <w:t xml:space="preserve"> </w:t>
      </w:r>
      <w:r w:rsidR="00966996" w:rsidRPr="00315EC7">
        <w:rPr>
          <w:rFonts w:ascii="Times New Roman" w:eastAsia="SimSun" w:hAnsi="Times New Roman" w:cs="Times New Roman"/>
          <w:sz w:val="24"/>
          <w:szCs w:val="24"/>
        </w:rPr>
        <w:lastRenderedPageBreak/>
        <w:t>Gaismekļa kalpošanas laiks ir vismaz 100 000h (L90B10) pie 25°C, par ko tiek iesniegti atbilstības pierādījumi.</w:t>
      </w:r>
    </w:p>
    <w:p w14:paraId="547A1164" w14:textId="77777777" w:rsidR="001C3B2C" w:rsidRPr="00315EC7" w:rsidRDefault="001C3B2C" w:rsidP="00681873">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Uz LED moduļu remontu vai attiecīgu rezerves daļu nodrošināšanu, kuriem rodas pēkšņa darbības kļūme, attiecas garantija, kura ilgst piecus gadus no uzstādīšanas datuma.</w:t>
      </w:r>
    </w:p>
    <w:p w14:paraId="69F9FFCB" w14:textId="77777777" w:rsidR="001C3B2C" w:rsidRPr="00315EC7" w:rsidRDefault="001C3B2C" w:rsidP="00681873">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Rezerves daļām jābūt tādām pašām kā oriģinālajām daļām, taču, ja tas nav iespējams, drīkst izmantot </w:t>
      </w:r>
      <w:r w:rsidRPr="00315EC7">
        <w:rPr>
          <w:rFonts w:ascii="Times New Roman" w:eastAsia="Times New Roman" w:hAnsi="Times New Roman" w:cs="Times New Roman"/>
          <w:sz w:val="24"/>
          <w:szCs w:val="24"/>
          <w:lang w:eastAsia="lv-LV"/>
        </w:rPr>
        <w:t xml:space="preserve"> </w:t>
      </w:r>
      <w:r w:rsidRPr="00315EC7">
        <w:rPr>
          <w:rFonts w:ascii="Times New Roman" w:eastAsia="SimSun" w:hAnsi="Times New Roman" w:cs="Times New Roman"/>
          <w:sz w:val="24"/>
          <w:szCs w:val="24"/>
          <w:lang w:eastAsia="ja-JP"/>
        </w:rPr>
        <w:t>ekvivalentam  rezerves daļas, kas veic tādu pašu funkciju tādā pašā vai augstākā veiktspējas līmenī.</w:t>
      </w:r>
    </w:p>
    <w:p w14:paraId="76E1692F" w14:textId="6523C411" w:rsidR="00F466A6" w:rsidRPr="00315EC7" w:rsidRDefault="001C3B2C" w:rsidP="00681873">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Gaismekļa korpuss ir izturīgs pret koroziju, par ko tiek iesniegti atbilstības pierādījumi. Gaismekļa korpusa izturību pret koroziju pierāda saskaņā ar ISO 9227 (vai ekvivalentu) standartu.</w:t>
      </w:r>
      <w:r w:rsidRPr="00315EC7">
        <w:rPr>
          <w:rFonts w:ascii="Times New Roman" w:eastAsia="SimSun" w:hAnsi="Times New Roman" w:cs="Times New Roman"/>
          <w:sz w:val="24"/>
          <w:szCs w:val="24"/>
          <w:lang w:eastAsia="ja-JP"/>
        </w:rPr>
        <w:t>”</w:t>
      </w:r>
    </w:p>
    <w:p w14:paraId="3CA3476B" w14:textId="2A52B82F" w:rsidR="00F466A6" w:rsidRPr="00315EC7" w:rsidRDefault="00F466A6" w:rsidP="00420E21">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Noteikumu 1. pielikuma 7.1. sadaļas ZPI prasības un kritēriji Tehniskās specifikācijas sadaļu papildināt ar 6., 7., 8., 9. punktiem šādā redakcijā: </w:t>
      </w:r>
      <w:r w:rsidRPr="00315EC7">
        <w:rPr>
          <w:rFonts w:ascii="Times New Roman" w:eastAsia="SimSun" w:hAnsi="Times New Roman" w:cs="Times New Roman"/>
          <w:sz w:val="24"/>
          <w:szCs w:val="24"/>
          <w:lang w:eastAsia="ja-JP"/>
        </w:rPr>
        <w:t>“</w:t>
      </w:r>
      <w:r w:rsidRPr="00315EC7">
        <w:rPr>
          <w:rFonts w:ascii="Times New Roman" w:eastAsia="SimSun" w:hAnsi="Times New Roman" w:cs="Times New Roman"/>
          <w:sz w:val="24"/>
          <w:szCs w:val="24"/>
          <w:lang w:eastAsia="ja-JP"/>
        </w:rPr>
        <w:t>6. GAISMEKĻU OPTISKĀS SISTĒMAS APRĪKOJUMS</w:t>
      </w:r>
    </w:p>
    <w:p w14:paraId="5EF798F4" w14:textId="77777777" w:rsidR="00F466A6" w:rsidRPr="00315EC7" w:rsidRDefault="00F466A6" w:rsidP="004D0EF3">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Gaismekļu optiskai sistēmai jābūt aprīkotai ar gludu, plakanu, rūdītu stiklu, kas aizsargā LED moduli un lēcas no ārējās vides iedarbības. Stikls aizsargā optiskos materiālus no UV starojuma, putekļu un netīrumu skrāpējumiem.</w:t>
      </w:r>
    </w:p>
    <w:p w14:paraId="5BB3B49C" w14:textId="77777777" w:rsidR="00F466A6" w:rsidRPr="00315EC7" w:rsidRDefault="00F466A6" w:rsidP="004D0EF3">
      <w:pPr>
        <w:pStyle w:val="ListParagraph"/>
        <w:suppressAutoHyphens/>
        <w:autoSpaceDN w:val="0"/>
        <w:spacing w:before="88" w:after="88" w:line="264" w:lineRule="auto"/>
        <w:ind w:firstLine="20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7. GAISMEKĻU FOTOMETRIJAS DATI</w:t>
      </w:r>
    </w:p>
    <w:p w14:paraId="1824BB10" w14:textId="77777777" w:rsidR="00F466A6" w:rsidRPr="00315EC7" w:rsidRDefault="00F466A6" w:rsidP="004D0EF3">
      <w:pPr>
        <w:pStyle w:val="ListParagraph"/>
        <w:suppressAutoHyphens/>
        <w:autoSpaceDN w:val="0"/>
        <w:spacing w:before="88" w:after="88" w:line="264" w:lineRule="auto"/>
        <w:ind w:firstLine="20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Par katru no piedāvātiem gaismekļiem pretendents iesniedz</w:t>
      </w:r>
    </w:p>
    <w:p w14:paraId="542907FD" w14:textId="77777777" w:rsidR="00F466A6" w:rsidRPr="00315EC7" w:rsidRDefault="00F466A6" w:rsidP="004D0EF3">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fotometrijas datus, kas iegūti, veicot gaismekļa testēšanu saskaņā ar standartu EN 13032-4 (vai tā ekvivalentu).</w:t>
      </w:r>
    </w:p>
    <w:p w14:paraId="45245112" w14:textId="77777777" w:rsidR="00F466A6" w:rsidRPr="00315EC7" w:rsidRDefault="00F466A6" w:rsidP="004D0EF3">
      <w:pPr>
        <w:pStyle w:val="ListParagraph"/>
        <w:suppressAutoHyphens/>
        <w:autoSpaceDN w:val="0"/>
        <w:spacing w:before="88" w:after="88" w:line="264" w:lineRule="auto"/>
        <w:ind w:firstLine="20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8. IZTURĪBA PRET PĀRSPRIEGUMU</w:t>
      </w:r>
    </w:p>
    <w:p w14:paraId="1D47096A" w14:textId="77777777" w:rsidR="00F466A6" w:rsidRPr="00315EC7" w:rsidRDefault="00F466A6" w:rsidP="0099563F">
      <w:pPr>
        <w:pStyle w:val="ListParagraph"/>
        <w:suppressAutoHyphens/>
        <w:autoSpaceDN w:val="0"/>
        <w:spacing w:before="88" w:after="88" w:line="264" w:lineRule="auto"/>
        <w:ind w:firstLine="20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Gaismekļa barošanas blokam jābūt iebūvētai izturībai pret</w:t>
      </w:r>
    </w:p>
    <w:p w14:paraId="4940F43C" w14:textId="77777777" w:rsidR="00F466A6" w:rsidRPr="00315EC7" w:rsidRDefault="00F466A6" w:rsidP="0099563F">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pārspriegumu (L/N) 6kV, (L/N-PE) 10kV, saskaņā ar standartu EN 61000-4-5 (vai ekvivalentu), ko apliecina ar barošanas bloka ražotajā tehnisko datu lapu.</w:t>
      </w:r>
    </w:p>
    <w:p w14:paraId="5BE67BA2" w14:textId="77777777" w:rsidR="00F466A6" w:rsidRPr="00315EC7" w:rsidRDefault="00F466A6" w:rsidP="0099563F">
      <w:pPr>
        <w:pStyle w:val="ListParagraph"/>
        <w:suppressAutoHyphens/>
        <w:autoSpaceDN w:val="0"/>
        <w:spacing w:before="88" w:after="88" w:line="264" w:lineRule="auto"/>
        <w:ind w:firstLine="20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9. ELEKTROMAGNĒTISKĀ SAVIETOJAMĪBA</w:t>
      </w:r>
    </w:p>
    <w:p w14:paraId="3116240D" w14:textId="786E1ADE" w:rsidR="00147ECB" w:rsidRPr="00315EC7" w:rsidRDefault="00F466A6" w:rsidP="0099563F">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Gaismeklim jāatbilst elektromagnētiskās savietojamības (EMS) prasībām par ko tiek iesniegti atbilstības pierādījumi. Atbilstību elektromagnētiskās savietojamības (EMS) prasībām pierāda saskaņā  ar standartiem EN 55015, EN 61547, EN 61000-3-2, EN 61000-3-3 (vai ekvivalentiem) veikts testa pārskats.</w:t>
      </w:r>
      <w:r w:rsidRPr="00315EC7">
        <w:rPr>
          <w:rFonts w:ascii="Times New Roman" w:eastAsia="SimSun" w:hAnsi="Times New Roman" w:cs="Times New Roman"/>
          <w:sz w:val="24"/>
          <w:szCs w:val="24"/>
          <w:lang w:eastAsia="ja-JP"/>
        </w:rPr>
        <w:t>”</w:t>
      </w:r>
    </w:p>
    <w:p w14:paraId="3309C16B" w14:textId="4F502AF0" w:rsidR="00147ECB" w:rsidRPr="00315EC7" w:rsidRDefault="00CB20E7" w:rsidP="00D765B1">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Noteikumu 1. pielikuma 7.1. sadaļas ZPI prasības un kritēriji </w:t>
      </w:r>
      <w:r w:rsidR="00972596" w:rsidRPr="00315EC7">
        <w:rPr>
          <w:rFonts w:ascii="Times New Roman" w:eastAsia="SimSun" w:hAnsi="Times New Roman" w:cs="Times New Roman"/>
          <w:sz w:val="24"/>
          <w:szCs w:val="24"/>
          <w:lang w:eastAsia="ja-JP"/>
        </w:rPr>
        <w:t>Piedāvājuma izvērtēšanas kritēriji 2. punktu izteikt šādā redakcijā: “2</w:t>
      </w:r>
      <w:r w:rsidR="00972596" w:rsidRPr="00315EC7">
        <w:rPr>
          <w:rFonts w:ascii="Times New Roman" w:eastAsia="SimSun" w:hAnsi="Times New Roman" w:cs="Times New Roman"/>
          <w:sz w:val="24"/>
          <w:szCs w:val="24"/>
          <w:lang w:eastAsia="ja-JP"/>
        </w:rPr>
        <w:t>.VIDEI DRAUDZĪGA PIEGĀDE. Papildus punktus piešķir par tādu gaismekļu un apgaismojuma aprīkojuma piegādi, kas tiks veikta noteiktā pasūtītāja paredzēta attāluma ietvaros no ražošanas vietas līdz pasūtītāja norādītajai vietai, lai maksimāli samazinātu CO2 izmešus piegādes procesā (piemēram, 250 km ietvaros).</w:t>
      </w:r>
      <w:r w:rsidR="00972596" w:rsidRPr="00315EC7">
        <w:rPr>
          <w:rFonts w:ascii="Times New Roman" w:eastAsia="SimSun" w:hAnsi="Times New Roman" w:cs="Times New Roman"/>
          <w:sz w:val="24"/>
          <w:szCs w:val="24"/>
          <w:lang w:eastAsia="ja-JP"/>
        </w:rPr>
        <w:t xml:space="preserve"> </w:t>
      </w:r>
      <w:r w:rsidR="00972596" w:rsidRPr="00315EC7">
        <w:rPr>
          <w:rFonts w:ascii="Times New Roman" w:eastAsia="SimSun" w:hAnsi="Times New Roman" w:cs="Times New Roman"/>
          <w:sz w:val="24"/>
          <w:szCs w:val="24"/>
          <w:lang w:eastAsia="ja-JP"/>
        </w:rPr>
        <w:t>3. IZTURĪBA PRET PĀRSPRIEGUMU. Papildus punktus piešķir, ja pretendents piedāvā gaismekļus ar izturību pret pārspriegumu (L/N) 10kV, (L/N-PE) 10kV, Imax 10kA, kas ir nodrošināts ar atsevišķu, gaismeklī integrētu pārsprieguma aizsardzības bloku.</w:t>
      </w:r>
      <w:r w:rsidR="00972596" w:rsidRPr="00315EC7">
        <w:rPr>
          <w:rFonts w:ascii="Times New Roman" w:eastAsia="SimSun" w:hAnsi="Times New Roman" w:cs="Times New Roman"/>
          <w:sz w:val="24"/>
          <w:szCs w:val="24"/>
          <w:lang w:eastAsia="ja-JP"/>
        </w:rPr>
        <w:t>”</w:t>
      </w:r>
    </w:p>
    <w:p w14:paraId="3FDD5D0B" w14:textId="1E3B9C53" w:rsidR="00682DFD" w:rsidRPr="00315EC7" w:rsidRDefault="009B3D6A" w:rsidP="00682DFD">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Noteikumu 1. pielikuma 7.</w:t>
      </w:r>
      <w:r w:rsidR="001D383E" w:rsidRPr="00315EC7">
        <w:rPr>
          <w:rFonts w:ascii="Times New Roman" w:eastAsia="SimSun" w:hAnsi="Times New Roman" w:cs="Times New Roman"/>
          <w:sz w:val="24"/>
          <w:szCs w:val="24"/>
          <w:lang w:eastAsia="ja-JP"/>
        </w:rPr>
        <w:t>2</w:t>
      </w:r>
      <w:r w:rsidRPr="00315EC7">
        <w:rPr>
          <w:rFonts w:ascii="Times New Roman" w:eastAsia="SimSun" w:hAnsi="Times New Roman" w:cs="Times New Roman"/>
          <w:sz w:val="24"/>
          <w:szCs w:val="24"/>
          <w:lang w:eastAsia="ja-JP"/>
        </w:rPr>
        <w:t>. sadaļas</w:t>
      </w:r>
      <w:r w:rsidR="00682DFD" w:rsidRPr="00315EC7">
        <w:rPr>
          <w:rFonts w:ascii="Times New Roman" w:eastAsia="SimSun" w:hAnsi="Times New Roman" w:cs="Times New Roman"/>
          <w:sz w:val="24"/>
          <w:szCs w:val="24"/>
          <w:lang w:eastAsia="ja-JP"/>
        </w:rPr>
        <w:t xml:space="preserve"> ZPI prasības un kritēriji Tehniskās specifikācijas 1. punktu izteikt šādā redakcijā: “</w:t>
      </w:r>
      <w:r w:rsidR="00682DFD" w:rsidRPr="00315EC7">
        <w:rPr>
          <w:rFonts w:ascii="Times New Roman" w:eastAsia="SimSun" w:hAnsi="Times New Roman" w:cs="Times New Roman"/>
          <w:sz w:val="24"/>
          <w:szCs w:val="24"/>
          <w:lang w:eastAsia="ja-JP"/>
        </w:rPr>
        <w:t xml:space="preserve">1. MAKSIMĀLAIS ENERGOEFEKTIVITĀTES RĀDĪTĀJS 1.1. Ja satiksmes maršrutam (M vai </w:t>
      </w:r>
      <w:r w:rsidR="00682DFD" w:rsidRPr="00315EC7">
        <w:rPr>
          <w:rFonts w:ascii="Times New Roman" w:eastAsia="SimSun" w:hAnsi="Times New Roman" w:cs="Times New Roman"/>
          <w:sz w:val="24"/>
          <w:szCs w:val="24"/>
          <w:lang w:eastAsia="ja-JP"/>
        </w:rPr>
        <w:lastRenderedPageBreak/>
        <w:t xml:space="preserve">C klase) paredzēts izstrādāt jaunu apgaismojuma sistēmu, maksimālais energoefektivitātes rādītājs, ko iegūst, ja sistēmas vidējo jaudu izdala ar nepieciešamo ceļa virsmas spilgtumu un apgaismojamo laukumu, nedrīkst pārsniegt zemāk norādītās vērtības. </w:t>
      </w:r>
    </w:p>
    <w:tbl>
      <w:tblPr>
        <w:tblW w:w="6207" w:type="dxa"/>
        <w:tblInd w:w="1043" w:type="dxa"/>
        <w:tblLayout w:type="fixed"/>
        <w:tblCellMar>
          <w:left w:w="10" w:type="dxa"/>
          <w:right w:w="10" w:type="dxa"/>
        </w:tblCellMar>
        <w:tblLook w:val="0000" w:firstRow="0" w:lastRow="0" w:firstColumn="0" w:lastColumn="0" w:noHBand="0" w:noVBand="0"/>
      </w:tblPr>
      <w:tblGrid>
        <w:gridCol w:w="1948"/>
        <w:gridCol w:w="4259"/>
      </w:tblGrid>
      <w:tr w:rsidR="009E3C50" w:rsidRPr="009E3C50" w14:paraId="028CDE61" w14:textId="77777777" w:rsidTr="00ED2F9D">
        <w:trPr>
          <w:trHeight w:val="808"/>
        </w:trPr>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ECFE1" w14:textId="77777777" w:rsidR="009E3C50" w:rsidRPr="009E3C50" w:rsidRDefault="009E3C50" w:rsidP="009E3C50">
            <w:pPr>
              <w:pStyle w:val="ListParagraph"/>
              <w:jc w:val="both"/>
              <w:rPr>
                <w:rFonts w:ascii="Times New Roman" w:eastAsia="SimSun" w:hAnsi="Times New Roman" w:cs="Times New Roman"/>
                <w:i/>
                <w:sz w:val="24"/>
                <w:szCs w:val="24"/>
                <w:lang w:eastAsia="ja-JP"/>
              </w:rPr>
            </w:pPr>
            <w:r w:rsidRPr="009E3C50">
              <w:rPr>
                <w:rFonts w:ascii="Times New Roman" w:eastAsia="SimSun" w:hAnsi="Times New Roman" w:cs="Times New Roman"/>
                <w:sz w:val="24"/>
                <w:szCs w:val="24"/>
                <w:lang w:eastAsia="ja-JP"/>
              </w:rPr>
              <w:t>Apgaismojuma sistēmas</w:t>
            </w:r>
            <w:r w:rsidRPr="009E3C50">
              <w:rPr>
                <w:rFonts w:ascii="Times New Roman" w:eastAsia="SimSun" w:hAnsi="Times New Roman" w:cs="Times New Roman"/>
                <w:sz w:val="24"/>
                <w:szCs w:val="24"/>
                <w:lang w:eastAsia="ja-JP"/>
              </w:rPr>
              <w:t xml:space="preserve"> </w:t>
            </w:r>
            <w:r w:rsidRPr="009E3C50">
              <w:rPr>
                <w:rFonts w:ascii="Times New Roman" w:eastAsia="SimSun" w:hAnsi="Times New Roman" w:cs="Times New Roman"/>
                <w:sz w:val="24"/>
                <w:szCs w:val="24"/>
                <w:lang w:eastAsia="ja-JP"/>
              </w:rPr>
              <w:t xml:space="preserve">jauda, </w:t>
            </w:r>
            <w:r w:rsidRPr="009E3C50">
              <w:rPr>
                <w:rFonts w:ascii="Times New Roman" w:eastAsia="SimSun" w:hAnsi="Times New Roman" w:cs="Times New Roman"/>
                <w:i/>
                <w:sz w:val="24"/>
                <w:szCs w:val="24"/>
                <w:lang w:eastAsia="ja-JP"/>
              </w:rPr>
              <w:t>(W)</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9ABB3" w14:textId="77777777" w:rsidR="009E3C50" w:rsidRPr="009E3C50" w:rsidRDefault="009E3C50" w:rsidP="009E3C50">
            <w:pPr>
              <w:pStyle w:val="ListParagraph"/>
              <w:jc w:val="both"/>
              <w:rPr>
                <w:rFonts w:ascii="Times New Roman" w:eastAsia="SimSun" w:hAnsi="Times New Roman" w:cs="Times New Roman"/>
                <w:sz w:val="24"/>
                <w:szCs w:val="24"/>
                <w:lang w:eastAsia="ja-JP"/>
              </w:rPr>
            </w:pPr>
            <w:r w:rsidRPr="009E3C50">
              <w:rPr>
                <w:rFonts w:ascii="Times New Roman" w:eastAsia="SimSun" w:hAnsi="Times New Roman" w:cs="Times New Roman"/>
                <w:sz w:val="24"/>
                <w:szCs w:val="24"/>
                <w:lang w:eastAsia="ja-JP"/>
              </w:rPr>
              <w:t xml:space="preserve">Maksimālais energoefektivitātes rādītājs, </w:t>
            </w:r>
            <w:r w:rsidRPr="009E3C50">
              <w:rPr>
                <w:rFonts w:ascii="Times New Roman" w:eastAsia="SimSun" w:hAnsi="Times New Roman" w:cs="Times New Roman"/>
                <w:i/>
                <w:sz w:val="24"/>
                <w:szCs w:val="24"/>
                <w:lang w:eastAsia="ja-JP"/>
              </w:rPr>
              <w:t>(W/cd/m</w:t>
            </w:r>
            <w:r w:rsidRPr="009E3C50">
              <w:rPr>
                <w:rFonts w:ascii="Times New Roman" w:eastAsia="SimSun" w:hAnsi="Times New Roman" w:cs="Times New Roman"/>
                <w:i/>
                <w:sz w:val="24"/>
                <w:szCs w:val="24"/>
                <w:vertAlign w:val="superscript"/>
                <w:lang w:eastAsia="ja-JP"/>
              </w:rPr>
              <w:t>2</w:t>
            </w:r>
            <w:r w:rsidRPr="009E3C50">
              <w:rPr>
                <w:rFonts w:ascii="Times New Roman" w:eastAsia="SimSun" w:hAnsi="Times New Roman" w:cs="Times New Roman"/>
                <w:i/>
                <w:sz w:val="24"/>
                <w:szCs w:val="24"/>
                <w:lang w:eastAsia="ja-JP"/>
              </w:rPr>
              <w:t xml:space="preserve"> </w:t>
            </w:r>
            <w:r w:rsidRPr="009E3C50">
              <w:rPr>
                <w:rFonts w:ascii="Times New Roman" w:eastAsia="SimSun" w:hAnsi="Times New Roman" w:cs="Times New Roman"/>
                <w:sz w:val="24"/>
                <w:szCs w:val="24"/>
                <w:lang w:eastAsia="ja-JP"/>
              </w:rPr>
              <w:t>·</w:t>
            </w:r>
            <w:r w:rsidRPr="009E3C50">
              <w:rPr>
                <w:rFonts w:ascii="Times New Roman" w:eastAsia="SimSun" w:hAnsi="Times New Roman" w:cs="Times New Roman"/>
                <w:i/>
                <w:sz w:val="24"/>
                <w:szCs w:val="24"/>
                <w:lang w:eastAsia="ja-JP"/>
              </w:rPr>
              <w:t xml:space="preserve"> m</w:t>
            </w:r>
            <w:r w:rsidRPr="009E3C50">
              <w:rPr>
                <w:rFonts w:ascii="Times New Roman" w:eastAsia="SimSun" w:hAnsi="Times New Roman" w:cs="Times New Roman"/>
                <w:i/>
                <w:sz w:val="24"/>
                <w:szCs w:val="24"/>
                <w:vertAlign w:val="superscript"/>
                <w:lang w:eastAsia="ja-JP"/>
              </w:rPr>
              <w:t>2</w:t>
            </w:r>
            <w:r w:rsidRPr="009E3C50">
              <w:rPr>
                <w:rFonts w:ascii="Times New Roman" w:eastAsia="SimSun" w:hAnsi="Times New Roman" w:cs="Times New Roman"/>
                <w:i/>
                <w:sz w:val="24"/>
                <w:szCs w:val="24"/>
                <w:lang w:eastAsia="ja-JP"/>
              </w:rPr>
              <w:t>)</w:t>
            </w:r>
          </w:p>
        </w:tc>
      </w:tr>
      <w:tr w:rsidR="009E3C50" w:rsidRPr="009E3C50" w14:paraId="5D5AF3E1" w14:textId="77777777" w:rsidTr="00ED2F9D">
        <w:trPr>
          <w:trHeight w:val="435"/>
        </w:trPr>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BD586" w14:textId="77777777" w:rsidR="009E3C50" w:rsidRPr="009E3C50" w:rsidRDefault="009E3C50" w:rsidP="009E3C50">
            <w:pPr>
              <w:pStyle w:val="ListParagraph"/>
              <w:spacing w:before="88" w:after="88"/>
              <w:rPr>
                <w:rFonts w:ascii="Times New Roman" w:eastAsia="SimSun" w:hAnsi="Times New Roman" w:cs="Times New Roman"/>
                <w:sz w:val="24"/>
                <w:szCs w:val="24"/>
                <w:lang w:eastAsia="ja-JP"/>
              </w:rPr>
            </w:pPr>
            <w:r w:rsidRPr="009E3C50">
              <w:rPr>
                <w:rFonts w:ascii="Times New Roman" w:eastAsia="SimSun" w:hAnsi="Times New Roman" w:cs="Times New Roman"/>
                <w:sz w:val="24"/>
                <w:szCs w:val="24"/>
                <w:lang w:eastAsia="ja-JP"/>
              </w:rPr>
              <w:t>W ≤ 55</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B6EEB" w14:textId="77777777" w:rsidR="009E3C50" w:rsidRPr="009E3C50" w:rsidRDefault="009E3C50" w:rsidP="009E3C50">
            <w:pPr>
              <w:pStyle w:val="ListParagraph"/>
              <w:spacing w:before="88" w:after="88"/>
              <w:rPr>
                <w:rFonts w:ascii="Times New Roman" w:eastAsia="SimSun" w:hAnsi="Times New Roman" w:cs="Times New Roman"/>
                <w:sz w:val="24"/>
                <w:szCs w:val="24"/>
                <w:lang w:eastAsia="ja-JP"/>
              </w:rPr>
            </w:pPr>
            <w:r w:rsidRPr="009E3C50">
              <w:rPr>
                <w:rFonts w:ascii="Times New Roman" w:eastAsia="SimSun" w:hAnsi="Times New Roman" w:cs="Times New Roman"/>
                <w:sz w:val="24"/>
                <w:szCs w:val="24"/>
                <w:lang w:eastAsia="ja-JP"/>
              </w:rPr>
              <w:t xml:space="preserve">0,974 </w:t>
            </w:r>
          </w:p>
        </w:tc>
      </w:tr>
      <w:tr w:rsidR="009E3C50" w:rsidRPr="009E3C50" w14:paraId="6D2FBB57" w14:textId="77777777" w:rsidTr="00ED2F9D">
        <w:trPr>
          <w:trHeight w:val="421"/>
        </w:trPr>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AD5A9" w14:textId="77777777" w:rsidR="009E3C50" w:rsidRPr="009E3C50" w:rsidRDefault="009E3C50" w:rsidP="009E3C50">
            <w:pPr>
              <w:pStyle w:val="ListParagraph"/>
              <w:spacing w:before="88" w:after="88"/>
              <w:rPr>
                <w:rFonts w:ascii="Times New Roman" w:eastAsia="SimSun" w:hAnsi="Times New Roman" w:cs="Times New Roman"/>
                <w:sz w:val="24"/>
                <w:szCs w:val="24"/>
                <w:lang w:eastAsia="ja-JP"/>
              </w:rPr>
            </w:pPr>
            <w:r w:rsidRPr="009E3C50">
              <w:rPr>
                <w:rFonts w:ascii="Times New Roman" w:eastAsia="SimSun" w:hAnsi="Times New Roman" w:cs="Times New Roman"/>
                <w:sz w:val="24"/>
                <w:szCs w:val="24"/>
                <w:lang w:eastAsia="ja-JP"/>
              </w:rPr>
              <w:t xml:space="preserve">55 &lt; W ≤ 155 </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35C7C" w14:textId="77777777" w:rsidR="009E3C50" w:rsidRPr="009E3C50" w:rsidRDefault="009E3C50" w:rsidP="009E3C50">
            <w:pPr>
              <w:pStyle w:val="ListParagraph"/>
              <w:spacing w:before="88" w:after="88"/>
              <w:rPr>
                <w:rFonts w:ascii="Times New Roman" w:eastAsia="SimSun" w:hAnsi="Times New Roman" w:cs="Times New Roman"/>
                <w:sz w:val="24"/>
                <w:szCs w:val="24"/>
                <w:lang w:eastAsia="ja-JP"/>
              </w:rPr>
            </w:pPr>
            <w:r w:rsidRPr="009E3C50">
              <w:rPr>
                <w:rFonts w:ascii="Times New Roman" w:eastAsia="SimSun" w:hAnsi="Times New Roman" w:cs="Times New Roman"/>
                <w:sz w:val="24"/>
                <w:szCs w:val="24"/>
                <w:lang w:eastAsia="ja-JP"/>
              </w:rPr>
              <w:t xml:space="preserve">0,824 </w:t>
            </w:r>
          </w:p>
        </w:tc>
      </w:tr>
      <w:tr w:rsidR="009E3C50" w:rsidRPr="009E3C50" w14:paraId="7BB9D489" w14:textId="77777777" w:rsidTr="00ED2F9D">
        <w:trPr>
          <w:trHeight w:val="419"/>
        </w:trPr>
        <w:tc>
          <w:tcPr>
            <w:tcW w:w="1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32DE95" w14:textId="77777777" w:rsidR="009E3C50" w:rsidRPr="009E3C50" w:rsidRDefault="009E3C50" w:rsidP="009E3C50">
            <w:pPr>
              <w:pStyle w:val="ListParagraph"/>
              <w:spacing w:before="88" w:after="88"/>
              <w:rPr>
                <w:rFonts w:ascii="Times New Roman" w:eastAsia="SimSun" w:hAnsi="Times New Roman" w:cs="Times New Roman"/>
                <w:sz w:val="24"/>
                <w:szCs w:val="24"/>
                <w:lang w:eastAsia="ja-JP"/>
              </w:rPr>
            </w:pPr>
            <w:r w:rsidRPr="009E3C50">
              <w:rPr>
                <w:rFonts w:ascii="Times New Roman" w:eastAsia="SimSun" w:hAnsi="Times New Roman" w:cs="Times New Roman"/>
                <w:sz w:val="24"/>
                <w:szCs w:val="24"/>
                <w:lang w:eastAsia="ja-JP"/>
              </w:rPr>
              <w:t>155 &lt; W</w:t>
            </w:r>
          </w:p>
        </w:tc>
        <w:tc>
          <w:tcPr>
            <w:tcW w:w="4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1DC36" w14:textId="77777777" w:rsidR="009E3C50" w:rsidRPr="009E3C50" w:rsidRDefault="009E3C50" w:rsidP="009E3C50">
            <w:pPr>
              <w:pStyle w:val="ListParagraph"/>
              <w:spacing w:before="88" w:after="88"/>
              <w:rPr>
                <w:rFonts w:ascii="Times New Roman" w:eastAsia="SimSun" w:hAnsi="Times New Roman" w:cs="Times New Roman"/>
                <w:sz w:val="24"/>
                <w:szCs w:val="24"/>
                <w:lang w:eastAsia="ja-JP"/>
              </w:rPr>
            </w:pPr>
            <w:r w:rsidRPr="009E3C50">
              <w:rPr>
                <w:rFonts w:ascii="Times New Roman" w:eastAsia="SimSun" w:hAnsi="Times New Roman" w:cs="Times New Roman"/>
                <w:sz w:val="24"/>
                <w:szCs w:val="24"/>
                <w:lang w:eastAsia="ja-JP"/>
              </w:rPr>
              <w:t>0,674</w:t>
            </w:r>
          </w:p>
        </w:tc>
      </w:tr>
    </w:tbl>
    <w:p w14:paraId="6FE8E79A" w14:textId="3FB9CD7D" w:rsidR="00682DFD" w:rsidRPr="00315EC7" w:rsidRDefault="003F3A2A" w:rsidP="00682DFD">
      <w:pPr>
        <w:pStyle w:val="ListParagraph"/>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    </w:t>
      </w:r>
      <w:r w:rsidR="009E3C50" w:rsidRPr="00315EC7">
        <w:rPr>
          <w:rFonts w:ascii="Times New Roman" w:eastAsia="SimSun" w:hAnsi="Times New Roman" w:cs="Times New Roman"/>
          <w:sz w:val="24"/>
          <w:szCs w:val="24"/>
          <w:lang w:eastAsia="ja-JP"/>
        </w:rPr>
        <w:t>“</w:t>
      </w:r>
    </w:p>
    <w:p w14:paraId="13EECA78" w14:textId="77777777" w:rsidR="00750266" w:rsidRPr="00315EC7" w:rsidRDefault="00F420A3" w:rsidP="00750266">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Noteikumu 1. pielikuma 7.2. sadaļas ZPI prasības un kritēriji </w:t>
      </w:r>
      <w:r w:rsidR="0024691F" w:rsidRPr="00315EC7">
        <w:rPr>
          <w:rFonts w:ascii="Times New Roman" w:eastAsia="SimSun" w:hAnsi="Times New Roman" w:cs="Times New Roman"/>
          <w:sz w:val="24"/>
          <w:szCs w:val="24"/>
          <w:lang w:eastAsia="ja-JP"/>
        </w:rPr>
        <w:t>Piedāvājuma izvērtēšanas kritēriji 2. punktu izteikt šādā redakcijā: “</w:t>
      </w:r>
      <w:r w:rsidR="0024691F" w:rsidRPr="00315EC7">
        <w:rPr>
          <w:rFonts w:ascii="Times New Roman" w:eastAsia="SimSun" w:hAnsi="Times New Roman" w:cs="Times New Roman"/>
          <w:sz w:val="24"/>
          <w:szCs w:val="24"/>
          <w:lang w:eastAsia="ja-JP"/>
        </w:rPr>
        <w:t>2. Ja gaismas intensitātes regulēšana ir nepieciešama un/vai ieteicama, papildu punktus piešķir atbilstīgi gaismas intensitātes regulēšanas procentuālajai attiecībai pret apgaismojuma sistēmas jaudu.</w:t>
      </w:r>
      <w:r w:rsidR="0024691F" w:rsidRPr="00315EC7">
        <w:rPr>
          <w:rFonts w:ascii="Times New Roman" w:eastAsia="SimSun" w:hAnsi="Times New Roman" w:cs="Times New Roman"/>
          <w:sz w:val="24"/>
          <w:szCs w:val="24"/>
          <w:lang w:eastAsia="ja-JP"/>
        </w:rPr>
        <w:t>”</w:t>
      </w:r>
      <w:r w:rsidR="0024691F" w:rsidRPr="00315EC7">
        <w:rPr>
          <w:rFonts w:ascii="Times New Roman" w:eastAsia="SimSun" w:hAnsi="Times New Roman" w:cs="Times New Roman"/>
          <w:sz w:val="24"/>
          <w:szCs w:val="24"/>
          <w:lang w:eastAsia="ja-JP"/>
        </w:rPr>
        <w:t xml:space="preserve"> </w:t>
      </w:r>
    </w:p>
    <w:p w14:paraId="29261B98" w14:textId="30EA9A01" w:rsidR="00D765B1" w:rsidRPr="00315EC7" w:rsidRDefault="004533A1" w:rsidP="00E448CD">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Noteikumu 1. pielikuma 7.</w:t>
      </w:r>
      <w:r w:rsidR="00F5730A" w:rsidRPr="00315EC7">
        <w:rPr>
          <w:rFonts w:ascii="Times New Roman" w:eastAsia="SimSun" w:hAnsi="Times New Roman" w:cs="Times New Roman"/>
          <w:sz w:val="24"/>
          <w:szCs w:val="24"/>
          <w:lang w:eastAsia="ja-JP"/>
        </w:rPr>
        <w:t>3</w:t>
      </w:r>
      <w:r w:rsidRPr="00315EC7">
        <w:rPr>
          <w:rFonts w:ascii="Times New Roman" w:eastAsia="SimSun" w:hAnsi="Times New Roman" w:cs="Times New Roman"/>
          <w:sz w:val="24"/>
          <w:szCs w:val="24"/>
          <w:lang w:eastAsia="ja-JP"/>
        </w:rPr>
        <w:t>. sadaļas ZPI prasības un kritēriji</w:t>
      </w:r>
      <w:r w:rsidR="00F5730A" w:rsidRPr="00315EC7">
        <w:rPr>
          <w:rFonts w:ascii="Times New Roman" w:eastAsia="SimSun" w:hAnsi="Times New Roman" w:cs="Times New Roman"/>
          <w:sz w:val="24"/>
          <w:szCs w:val="24"/>
          <w:lang w:eastAsia="ja-JP"/>
        </w:rPr>
        <w:t xml:space="preserve"> </w:t>
      </w:r>
      <w:r w:rsidR="00750266" w:rsidRPr="00315EC7">
        <w:rPr>
          <w:rFonts w:ascii="Times New Roman" w:eastAsia="SimSun" w:hAnsi="Times New Roman" w:cs="Times New Roman"/>
          <w:sz w:val="24"/>
          <w:szCs w:val="24"/>
          <w:lang w:eastAsia="ja-JP"/>
        </w:rPr>
        <w:t>Iepirkuma līguma izpildes noteikumi 2. un 3. punktu izteikt šādā redakcijā: “</w:t>
      </w:r>
      <w:r w:rsidR="00750266" w:rsidRPr="00315EC7">
        <w:rPr>
          <w:rFonts w:ascii="Times New Roman" w:eastAsia="SimSun" w:hAnsi="Times New Roman" w:cs="Times New Roman"/>
          <w:sz w:val="24"/>
          <w:szCs w:val="24"/>
          <w:lang w:eastAsia="ja-JP"/>
        </w:rPr>
        <w:t xml:space="preserve">2. Piegādātājs nodrošina, lai apgaismojuma aprīkojums (tostarp spuldzes, apgaismes iekārtas un apgaismes vadības ierīces) tiktu uzstādīts tieši tā, kā norādīts sākotnējā projektā. 3. Piegādātājs veic atbilstošus apkārtējās vides aizsardzības pasākumus, lai samazinātu un reģenerētu atkritumus, kas radušies jaunas vai renovētas apgaismojuma sistēmas uzstādīšanas laikā. Visas izlietotās spuldzes, apgaismes iekārtas un apgaismes vadības ierīces jāsašķiro un jānosūta reģenerēšanai saskaņā ar </w:t>
      </w:r>
      <w:r w:rsidR="00750266" w:rsidRPr="00315EC7">
        <w:rPr>
          <w:rFonts w:ascii="Times New Roman" w:eastAsia="SimSun" w:hAnsi="Times New Roman" w:cs="Times New Roman"/>
          <w:bCs/>
          <w:color w:val="000000"/>
          <w:sz w:val="24"/>
          <w:szCs w:val="24"/>
        </w:rPr>
        <w:t xml:space="preserve">Ministru kabineta </w:t>
      </w:r>
      <w:r w:rsidR="00750266" w:rsidRPr="00315EC7">
        <w:rPr>
          <w:rFonts w:ascii="Times New Roman" w:eastAsia="SimSun" w:hAnsi="Times New Roman" w:cs="Times New Roman"/>
          <w:color w:val="000000"/>
          <w:sz w:val="24"/>
          <w:szCs w:val="24"/>
        </w:rPr>
        <w:t xml:space="preserve">2014.gada 8.jūlija </w:t>
      </w:r>
      <w:r w:rsidR="00750266" w:rsidRPr="00315EC7">
        <w:rPr>
          <w:rFonts w:ascii="Times New Roman" w:eastAsia="SimSun" w:hAnsi="Times New Roman" w:cs="Times New Roman"/>
          <w:bCs/>
          <w:color w:val="000000"/>
          <w:sz w:val="24"/>
          <w:szCs w:val="24"/>
        </w:rPr>
        <w:t>noteikumiem Nr.388</w:t>
      </w:r>
      <w:r w:rsidR="00750266" w:rsidRPr="00315EC7">
        <w:rPr>
          <w:rFonts w:ascii="Times New Roman" w:eastAsia="SimSun" w:hAnsi="Times New Roman" w:cs="Times New Roman"/>
          <w:color w:val="000000"/>
          <w:sz w:val="24"/>
          <w:szCs w:val="24"/>
        </w:rPr>
        <w:t xml:space="preserve"> "</w:t>
      </w:r>
      <w:r w:rsidR="00750266" w:rsidRPr="00315EC7">
        <w:rPr>
          <w:rFonts w:ascii="Times New Roman" w:eastAsia="SimSun" w:hAnsi="Times New Roman" w:cs="Times New Roman"/>
          <w:bCs/>
          <w:color w:val="000000"/>
          <w:sz w:val="24"/>
          <w:szCs w:val="24"/>
        </w:rPr>
        <w:t>Elektrisko un elektronisko iekārtu kategorijas un marķēšanas prasības un šo iekārtu atkritumu apsaimniekošanas prasības un kārtība".</w:t>
      </w:r>
      <w:r w:rsidR="00E448CD" w:rsidRPr="00315EC7">
        <w:rPr>
          <w:rFonts w:ascii="Times New Roman" w:eastAsia="SimSun" w:hAnsi="Times New Roman" w:cs="Times New Roman"/>
          <w:bCs/>
          <w:color w:val="000000"/>
          <w:sz w:val="24"/>
          <w:szCs w:val="24"/>
        </w:rPr>
        <w:t>”</w:t>
      </w:r>
    </w:p>
    <w:p w14:paraId="3322DA60" w14:textId="3909A83D" w:rsidR="00E448CD" w:rsidRPr="00315EC7" w:rsidRDefault="007F2E12" w:rsidP="00E448CD">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Noteikumu 1. pielikuma 7.</w:t>
      </w:r>
      <w:r w:rsidR="00DA5857" w:rsidRPr="00315EC7">
        <w:rPr>
          <w:rFonts w:ascii="Times New Roman" w:eastAsia="SimSun" w:hAnsi="Times New Roman" w:cs="Times New Roman"/>
          <w:sz w:val="24"/>
          <w:szCs w:val="24"/>
          <w:lang w:eastAsia="ja-JP"/>
        </w:rPr>
        <w:t>4</w:t>
      </w:r>
      <w:r w:rsidRPr="00315EC7">
        <w:rPr>
          <w:rFonts w:ascii="Times New Roman" w:eastAsia="SimSun" w:hAnsi="Times New Roman" w:cs="Times New Roman"/>
          <w:sz w:val="24"/>
          <w:szCs w:val="24"/>
          <w:lang w:eastAsia="ja-JP"/>
        </w:rPr>
        <w:t xml:space="preserve">. sadaļas ZPI prasības un kritēriji </w:t>
      </w:r>
      <w:r w:rsidR="002246F1" w:rsidRPr="00315EC7">
        <w:rPr>
          <w:rFonts w:ascii="Times New Roman" w:eastAsia="SimSun" w:hAnsi="Times New Roman" w:cs="Times New Roman"/>
          <w:sz w:val="24"/>
          <w:szCs w:val="24"/>
          <w:lang w:eastAsia="ja-JP"/>
        </w:rPr>
        <w:t xml:space="preserve">Tehniskās specifikācijas 1. punktā tekstu zem tabulas izteikt šādā redakcijā: </w:t>
      </w:r>
      <w:r w:rsidR="004938FB" w:rsidRPr="00315EC7">
        <w:rPr>
          <w:rFonts w:ascii="Times New Roman" w:eastAsia="SimSun" w:hAnsi="Times New Roman" w:cs="Times New Roman"/>
          <w:sz w:val="24"/>
          <w:szCs w:val="24"/>
          <w:lang w:eastAsia="ja-JP"/>
        </w:rPr>
        <w:t>“</w:t>
      </w:r>
      <w:r w:rsidR="004938FB" w:rsidRPr="00315EC7">
        <w:rPr>
          <w:rFonts w:ascii="Times New Roman" w:eastAsia="SimSun" w:hAnsi="Times New Roman" w:cs="Times New Roman"/>
          <w:sz w:val="24"/>
          <w:szCs w:val="24"/>
          <w:lang w:eastAsia="ja-JP"/>
        </w:rPr>
        <w:t>Tabulā iepriekš norādītās jaudas prasības attiecas uz atsevišķu moduli, nevis visu luksoforu. Šīs vērtības ietver lampas spuldzes padeves ķēdes enerģijas patēriņu.</w:t>
      </w:r>
      <w:r w:rsidR="004938FB" w:rsidRPr="00315EC7">
        <w:rPr>
          <w:rFonts w:ascii="Times New Roman" w:eastAsia="SimSun" w:hAnsi="Times New Roman" w:cs="Times New Roman"/>
          <w:sz w:val="24"/>
          <w:szCs w:val="24"/>
          <w:lang w:eastAsia="ja-JP"/>
        </w:rPr>
        <w:t>”</w:t>
      </w:r>
    </w:p>
    <w:p w14:paraId="58EBCFE4" w14:textId="77777777" w:rsidR="00F46C91" w:rsidRPr="00315EC7" w:rsidRDefault="00F46C91" w:rsidP="00F46C91">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Noteikumu 1. pielikuma 7.4. sadaļas ZPI prasības un kritēriji Tehniskās specifikācijas 3. punktu izteikt šādā redakcijā: “</w:t>
      </w:r>
      <w:r w:rsidRPr="00315EC7">
        <w:rPr>
          <w:rFonts w:ascii="Times New Roman" w:eastAsia="SimSun" w:hAnsi="Times New Roman" w:cs="Times New Roman"/>
          <w:sz w:val="24"/>
          <w:szCs w:val="24"/>
          <w:lang w:eastAsia="ja-JP"/>
        </w:rPr>
        <w:t xml:space="preserve">3. APRITES CIKLA IZMAKSAS </w:t>
      </w:r>
    </w:p>
    <w:p w14:paraId="699330C6" w14:textId="77777777" w:rsidR="00F46C91" w:rsidRPr="00315EC7" w:rsidRDefault="00F46C91" w:rsidP="00F46C91">
      <w:pPr>
        <w:pStyle w:val="ListParagraph"/>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Aprites cikla izmaksas aprēķinam (ja tas tiek noteikts kā piedāvājuma izvēles kritērijs), pretendentam jāiesniedz šāda informācija, pamatojoties uz iepirkuma veicēja noteiktajām specifikācijām:</w:t>
      </w:r>
    </w:p>
    <w:p w14:paraId="4EC2F8B1" w14:textId="77777777" w:rsidR="00F46C91" w:rsidRPr="00315EC7" w:rsidRDefault="00F46C91" w:rsidP="00F46C91">
      <w:pPr>
        <w:pStyle w:val="ListParagraph"/>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laikposms, kurā spuldzēm piemēro garantiju pēkšņas darbības kļūmes gadījumos;</w:t>
      </w:r>
    </w:p>
    <w:p w14:paraId="28CB7332" w14:textId="77777777" w:rsidR="00F46C91" w:rsidRPr="00315EC7" w:rsidRDefault="00F46C91" w:rsidP="00F46C91">
      <w:pPr>
        <w:pStyle w:val="ListParagraph"/>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lastRenderedPageBreak/>
        <w:t xml:space="preserve">· aprēķinātais lampas spuldzes ekspluatācijas laiks (t. i., laiks, kad lampas spuldzes gaismas plūsma, kā paredzēts, samazināsies līdz 70 % no sākotnējās gaismas plūsmas); </w:t>
      </w:r>
    </w:p>
    <w:p w14:paraId="200F174A" w14:textId="77777777" w:rsidR="00F46C91" w:rsidRPr="00315EC7" w:rsidRDefault="00F46C91" w:rsidP="00F46C91">
      <w:pPr>
        <w:pStyle w:val="ListParagraph"/>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lampu spuldžu iegādes izmaksas (sākumā un attiecībā uz jebkādu nepieciešamu nomaiņu noteiktajā laikposmā);</w:t>
      </w:r>
    </w:p>
    <w:p w14:paraId="7DFD285A" w14:textId="0A1C0410" w:rsidR="00F46C91" w:rsidRPr="00315EC7" w:rsidRDefault="00F46C91" w:rsidP="00F46C91">
      <w:pPr>
        <w:pStyle w:val="ListParagraph"/>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 jebkādu palīgierīču iegādes izmaksas; </w:t>
      </w:r>
    </w:p>
    <w:p w14:paraId="740206EB" w14:textId="77777777" w:rsidR="00F46C91" w:rsidRPr="00315EC7" w:rsidRDefault="00F46C91" w:rsidP="00F46C91">
      <w:pPr>
        <w:pStyle w:val="ListParagraph"/>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jebkādu stabu, pamatu un jaunu elektrisko savienojumu iegādes izmaksas;</w:t>
      </w:r>
    </w:p>
    <w:p w14:paraId="4287F836" w14:textId="2A423D98" w:rsidR="004938FB" w:rsidRPr="00315EC7" w:rsidRDefault="00F46C91" w:rsidP="00F46C91">
      <w:pPr>
        <w:pStyle w:val="ListParagraph"/>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 uzstādīšanas izmaksas (darba stundas reizina ar darba izmaksu likmēm un pieskaita jebkādas izmaksas par pacelšanas ierīcēm utt.). </w:t>
      </w:r>
      <w:r w:rsidRPr="00315EC7">
        <w:rPr>
          <w:rFonts w:ascii="Times New Roman" w:eastAsia="SimSun" w:hAnsi="Times New Roman" w:cs="Times New Roman"/>
          <w:sz w:val="24"/>
          <w:szCs w:val="24"/>
          <w:lang w:eastAsia="ja-JP"/>
        </w:rPr>
        <w:t>”</w:t>
      </w:r>
    </w:p>
    <w:p w14:paraId="1C63960B" w14:textId="5701B153" w:rsidR="00F90660" w:rsidRPr="00315EC7" w:rsidRDefault="00E42991" w:rsidP="005B2B34">
      <w:pPr>
        <w:pStyle w:val="ListParagraph"/>
        <w:numPr>
          <w:ilvl w:val="0"/>
          <w:numId w:val="1"/>
        </w:numPr>
        <w:suppressAutoHyphens/>
        <w:autoSpaceDN w:val="0"/>
        <w:spacing w:after="120" w:line="264" w:lineRule="auto"/>
        <w:contextualSpacing w:val="0"/>
        <w:textAlignment w:val="baseline"/>
        <w:rPr>
          <w:rFonts w:ascii="Times New Roman" w:eastAsia="SimSun" w:hAnsi="Times New Roman" w:cs="Times New Roman"/>
          <w:b/>
          <w:bCs/>
          <w:sz w:val="24"/>
          <w:szCs w:val="24"/>
          <w:lang w:eastAsia="ja-JP"/>
        </w:rPr>
      </w:pPr>
      <w:bookmarkStart w:id="1" w:name="_Hlk106700570"/>
      <w:r w:rsidRPr="00315EC7">
        <w:rPr>
          <w:rFonts w:ascii="Times New Roman" w:eastAsia="SimSun" w:hAnsi="Times New Roman" w:cs="Times New Roman"/>
          <w:sz w:val="24"/>
          <w:szCs w:val="24"/>
          <w:lang w:eastAsia="ja-JP"/>
        </w:rPr>
        <w:t>Papildināt Noteikumu 1. pielikumu ar 8. sadaļu, izsakot to šādā redakcijā</w:t>
      </w:r>
      <w:bookmarkEnd w:id="1"/>
      <w:r w:rsidRPr="00315EC7">
        <w:rPr>
          <w:rFonts w:ascii="Times New Roman" w:eastAsia="SimSun" w:hAnsi="Times New Roman" w:cs="Times New Roman"/>
          <w:sz w:val="24"/>
          <w:szCs w:val="24"/>
          <w:lang w:eastAsia="ja-JP"/>
        </w:rPr>
        <w:t>: “</w:t>
      </w:r>
      <w:bookmarkStart w:id="2" w:name="_Hlk106288788"/>
      <w:r w:rsidR="00F90660" w:rsidRPr="00315EC7">
        <w:rPr>
          <w:rFonts w:ascii="Times New Roman" w:eastAsia="SimSun" w:hAnsi="Times New Roman" w:cs="Times New Roman"/>
          <w:b/>
          <w:bCs/>
          <w:sz w:val="24"/>
          <w:szCs w:val="24"/>
          <w:lang w:eastAsia="ja-JP"/>
        </w:rPr>
        <w:t xml:space="preserve">Trešās grupas ēku jauna būvniecība, </w:t>
      </w:r>
      <w:r w:rsidR="005B2B34" w:rsidRPr="00315EC7">
        <w:rPr>
          <w:rFonts w:ascii="Times New Roman" w:eastAsia="SimSun" w:hAnsi="Times New Roman" w:cs="Times New Roman"/>
          <w:b/>
          <w:bCs/>
          <w:sz w:val="24"/>
          <w:szCs w:val="24"/>
          <w:lang w:eastAsia="ja-JP"/>
        </w:rPr>
        <w:t xml:space="preserve"> </w:t>
      </w:r>
      <w:r w:rsidR="00F90660" w:rsidRPr="00315EC7">
        <w:rPr>
          <w:rFonts w:ascii="Times New Roman" w:eastAsia="SimSun" w:hAnsi="Times New Roman" w:cs="Times New Roman"/>
          <w:b/>
          <w:bCs/>
          <w:sz w:val="24"/>
          <w:szCs w:val="24"/>
          <w:lang w:eastAsia="ja-JP"/>
        </w:rPr>
        <w:t>pārbūve, projektēšana un nojaukšana</w:t>
      </w:r>
    </w:p>
    <w:bookmarkEnd w:id="2"/>
    <w:p w14:paraId="4C90B693" w14:textId="5C5C6811" w:rsidR="00F90660" w:rsidRPr="00F90660" w:rsidRDefault="00F90660" w:rsidP="00B67D6A">
      <w:pPr>
        <w:spacing w:after="120" w:line="264" w:lineRule="auto"/>
        <w:ind w:left="720"/>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ZPI prasības projektēšanas, būvdarbu un nojaukšanas pakalpojumu publiskajā iepirkumā attiecina uz trešās grupas ēkas jaunas būvniecības, pārbūves vai nojaukšanas darbu ieceri. Būvju dalījums grupās atbilst Ministru kabineta 2014. gada 19. augusta noteikumu “Vispārīgie būvnoteikumi” 1. pielikumā noteiktajam. </w:t>
      </w:r>
    </w:p>
    <w:p w14:paraId="62303EAD" w14:textId="60114E02" w:rsidR="00F90660" w:rsidRPr="00F90660" w:rsidRDefault="00F90660" w:rsidP="00B67D6A">
      <w:pPr>
        <w:spacing w:after="120" w:line="264" w:lineRule="auto"/>
        <w:ind w:left="720"/>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Būvju un telpu grupu klasifikācija atbilst Ministru kabineta 2018.gada 12.jūnija noteikumiem Nr. 326 "Būvju klasifikācijas noteikumi". Ēkas klasifikācijas kods norādīts iekavās aiz attiecīgās ēkas nosaukuma ZPI prasību apakšpunktā.</w:t>
      </w:r>
    </w:p>
    <w:p w14:paraId="347DE8A0" w14:textId="12EA89E8" w:rsidR="00F90660" w:rsidRPr="00F90660" w:rsidRDefault="00F90660" w:rsidP="00B67D6A">
      <w:pPr>
        <w:spacing w:after="120" w:line="264" w:lineRule="auto"/>
        <w:ind w:left="720"/>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 un kritēriji iedalīti četrās atsevišķās grupās atbilstoši noteiktiem būvniecības projekta realizācijas posmiem (A-D):</w:t>
      </w:r>
    </w:p>
    <w:p w14:paraId="5D51FFCA" w14:textId="77777777" w:rsidR="00F90660" w:rsidRPr="00F90660" w:rsidRDefault="00F90660" w:rsidP="005B2B34">
      <w:pPr>
        <w:spacing w:after="120" w:line="264" w:lineRule="auto"/>
        <w:ind w:firstLine="720"/>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 ZPI prasības un kritēriji projektēšanas sagatavošanai</w:t>
      </w:r>
    </w:p>
    <w:p w14:paraId="2DCED508" w14:textId="77777777" w:rsidR="00F90660" w:rsidRPr="00F90660" w:rsidRDefault="00F90660" w:rsidP="005B2B34">
      <w:pPr>
        <w:spacing w:after="120" w:line="264" w:lineRule="auto"/>
        <w:ind w:firstLine="720"/>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 ZPI prasības un kritēriji projektēšanai</w:t>
      </w:r>
    </w:p>
    <w:p w14:paraId="72CF55EA" w14:textId="77777777" w:rsidR="00F90660" w:rsidRPr="00F90660" w:rsidRDefault="00F90660" w:rsidP="005B2B34">
      <w:pPr>
        <w:spacing w:after="120" w:line="264" w:lineRule="auto"/>
        <w:ind w:firstLine="720"/>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 ZPI prasības un kritēriji būvdarbiem</w:t>
      </w:r>
    </w:p>
    <w:p w14:paraId="3FC1319C" w14:textId="7B216760" w:rsidR="00F90660" w:rsidRPr="00F90660" w:rsidRDefault="00F90660" w:rsidP="00B67D6A">
      <w:pPr>
        <w:spacing w:after="120" w:line="264" w:lineRule="auto"/>
        <w:ind w:left="720"/>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D. ZPI prasības un kritēriji likvidēšanas, nojaukšanas un būvlaukuma sagatavošanas darbiem</w:t>
      </w:r>
    </w:p>
    <w:p w14:paraId="7198F7D9" w14:textId="77777777" w:rsidR="00F90660" w:rsidRPr="00F90660" w:rsidRDefault="00F90660" w:rsidP="00F90660">
      <w:pPr>
        <w:spacing w:after="120" w:line="264" w:lineRule="auto"/>
        <w:jc w:val="both"/>
        <w:rPr>
          <w:rFonts w:ascii="Times New Roman" w:eastAsia="SimSun" w:hAnsi="Times New Roman" w:cs="Times New Roman"/>
          <w:b/>
          <w:bCs/>
          <w:sz w:val="24"/>
          <w:szCs w:val="24"/>
        </w:rPr>
      </w:pPr>
      <w:r w:rsidRPr="00F90660">
        <w:rPr>
          <w:rFonts w:ascii="Times New Roman" w:eastAsia="SimSun" w:hAnsi="Times New Roman" w:cs="Times New Roman"/>
          <w:b/>
          <w:bCs/>
          <w:sz w:val="24"/>
          <w:szCs w:val="24"/>
        </w:rPr>
        <w:t>8.1. muzeja, bibliotēkas (1262), biroju ēkas (122), izglītības un zinātnes iestāžu ēkas (1263), viesnīcas un tām līdzīga lietojuma ēkas (121, izņemot 12110103) jaunas būvniecības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3FB71EA7"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469394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3C7B6A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2BF974EF"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F1FBB6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2F65CE0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Muzeja, bibliotēkas, biroju ēkas, viesu izmitināšanas ēkas un / vai dienesta viesnīcas jauna būvniecība vai projektēšanas un būvniecības pakalpojumi</w:t>
            </w:r>
          </w:p>
          <w:p w14:paraId="6F9E2B4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6AF3FE26" w14:textId="2F3BF73A"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Muzeja, bibliotēkas, biroju ēkas, viesu izmitināšanas ēkas un / vai dienesta viesnīcas pārbūve vai projektēšanas un pārbūves pakalpojumi</w:t>
            </w:r>
          </w:p>
          <w:p w14:paraId="529076C0" w14:textId="2A882ADD"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0B28816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Muzeja, bibliotēkas, biroju ēkas, viesu izmitināšanas ēkas un / vai dienesta viesnīcas projektēšana</w:t>
            </w:r>
          </w:p>
        </w:tc>
      </w:tr>
    </w:tbl>
    <w:p w14:paraId="1C07BBD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FBEA1E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 ZPI prasības un kritēriji projektēšanas sagatavošanai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416D03AF"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F557FC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E14722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07639892"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0E333A8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E58FA6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A1 Būvprojekta vadītāja vai izstrādātāja pieredze </w:t>
            </w:r>
          </w:p>
          <w:p w14:paraId="168A0A9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8C53B4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Atkarībā no ēkas lietošanas mērķa(-iem) un funkcijas(-ām), pasūtītājs izvirza tikai pirmo, vai arī vairākas no zemāk minētajām prasībām attiecībā uz būvprojekta izstrādātāju pieredzi:</w:t>
            </w:r>
          </w:p>
          <w:p w14:paraId="517F759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projektēšanā jaunbūvju un / vai ēku pārbūves projektos (atbilstoši iepirkuma specifikai), tostarp dati par pabeigtu projektu izmērīto energoefektivitāti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21CE420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uzstādīšanā, ēkas apsaimniekotāju informēšanā par to ekspluatāciju un izmantošanu, lai konstatētu, kāds ir ēkas energopatēriņa modelis;</w:t>
            </w:r>
          </w:p>
          <w:p w14:paraId="00C7ADC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pieredze ūdens patēriņa ziņā efektīvu ietaišu projektēšanā, tostarp dati par pabeigtu projektu izmērīto ūdens patēriņu uz lietotāju.</w:t>
            </w:r>
          </w:p>
        </w:tc>
      </w:tr>
    </w:tbl>
    <w:p w14:paraId="12E0DFA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7EFC02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031B90C0"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23AB4AC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D60BC0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19977ED5"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38CCE9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28023C8C" w14:textId="30233EF8"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4B287C0D" w14:textId="53338FC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jaunas būvniecības iepirkumiem būves kopējās primārās enerģijas patēriņa novērtējums kWh/m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gadā atbilst A+ klasei un primārās neatjaunojamās enerģijas patēriņa novērtējums nepārsniedz 60 %. </w:t>
            </w:r>
          </w:p>
          <w:p w14:paraId="0BF1E00F" w14:textId="7C1F9D68"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Ēku pārbūves darbu iepirkumā būves kopējo primāro enerģijas patēriņa novērtējumu var noteikt A klases līmenī, tai skaitā primārās neatjaunojamās enerģijas patēriņa novērtējums ir lielāks par 60%.</w:t>
            </w:r>
          </w:p>
          <w:p w14:paraId="3929B2E9" w14:textId="63E68FFF"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B5 Velosipēdu un mikromobilitātes transporta līdzekļu novietne</w:t>
            </w:r>
          </w:p>
          <w:p w14:paraId="0FC16A2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0A11A43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1D5DA9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pasūtītājs ir paredzējis uzlādes punktu ierīkošanu ar elektrību darbināmajiem mikromobilitātes transporta līdzekļiem, pretendentam ir  jāizvērtē optimālākais risinājums un jānosaka nepieciešamo uzlādes punktu skaits, ņemot vērā plānoto pieprasījuma dinamiku.</w:t>
            </w:r>
          </w:p>
          <w:p w14:paraId="642F184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DC29A8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2DAF253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334096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 vai tai piegulošajā teritorijā paredz iesegtu, apjumtu un apgaismotu atrkritumu glabātavu, lai ēkas lietotājiem nodrošinātu pārstrādājamu materiālu šķirošanu.</w:t>
            </w:r>
          </w:p>
          <w:p w14:paraId="6E59540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3F9D02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Pieņēmumi, kas ir pamatā prognozēm par vajadzīgo vietu, ir balstīti metodoloģijā, kas noteikta Ministru kabineta 2017. gada 13. jūnija noteikumos Nr. 328 “Kritēriji un kārtība, kādā novērtē atkritumu dalītās savākšanas pakalpojuma pieejamību iedzīvotājiem”, Ministru kabineta 2016. gada 13. decembra noteikumos Nr. 788 “Noteikumi par atkritumu savākšanas un šķirošanas vietām”,  kā arī attiecīgās pašvaldības saistošajos noteikumos un labās prakses piemēros.</w:t>
            </w:r>
          </w:p>
          <w:p w14:paraId="51B293B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ADA054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B7 Ūdens taupīšanas ietaises</w:t>
            </w:r>
          </w:p>
          <w:p w14:paraId="29099CA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0CAC7E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Visas sanitārās un virtuves ūdens ietaises ir aprīkotas ar efektīvu ūdensapgādes aprīkojumu, kas atbilst šo noteikumu 2. pielikuma  6. un 11. punktā noteiktajiem kritērijiem par sanitārtehnisko </w:t>
            </w:r>
            <w:r w:rsidRPr="00F90660">
              <w:rPr>
                <w:rFonts w:ascii="Times New Roman" w:eastAsia="SimSun" w:hAnsi="Times New Roman" w:cs="Times New Roman"/>
                <w:sz w:val="24"/>
                <w:szCs w:val="24"/>
              </w:rPr>
              <w:lastRenderedPageBreak/>
              <w:t>aprīkojumu un klozetpodiem un pisuāriem ar noskalošanas funkciju un sanitārtehniskajai armatūrai.</w:t>
            </w:r>
          </w:p>
          <w:p w14:paraId="2E637C4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9A277F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B9 Vizuālais kontakts ar ārtelpu</w:t>
            </w:r>
          </w:p>
          <w:p w14:paraId="28E235D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9379E5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būvdarbu iepirkumiem, ja ēkas lietošanas mērķis ir viesnīcas un tām līdzīga lietojuma ēkas, nepastarpinātam vizuālajam kontaktam ar ārtelpu (skatam uz ārtelpu) jābūt vismaz ≥75% no ēkas lietderīgās platības.</w:t>
            </w:r>
          </w:p>
          <w:p w14:paraId="35C3574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1F77A6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būvdarbu iepirkumiem, ja ēkas lietošanas mērķis ir biroju ēka, muzejs un / vai bibliotēka, nepastarpinātam vizuālajam kontaktam ar ārtelpu (skatam uz ārtelpu) darba vietās jābūt vismaz ≥75% no kopējās darba vietu platības.</w:t>
            </w:r>
          </w:p>
          <w:p w14:paraId="2E1EE1A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1C3E4F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Vienlaikus projektā ir paredzēta saules aizsardzība, aizsardzība pret apžilbinājumu un saules radiāciju.</w:t>
            </w:r>
          </w:p>
          <w:p w14:paraId="03349A8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418CDA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Pārbūves projektiem kritēriju var nepiemērot, ja pastāv objektīvi ierobežojumi pārplānot ēku tā, lai  nodrošinātu kritērija prasības, vai arī plānotie pārbūves darbi neskar konstrukcijas vai zonas, kuru pārbūve nodrošinātu vizuālā kontakta ar ārtelpu prasības.</w:t>
            </w:r>
          </w:p>
          <w:p w14:paraId="1695C09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09E0D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38040B6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E3619B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Vietās, kur āra gaisa kvalitāte ir zemaāka par ODA 1 kategoriju, izmantojot vismaz 2 pēdējo gadu gaisa kvalitātes monitoringa datus par gaisā suspendēto cieto daļiņu koncentrāciju (PM</w:t>
            </w:r>
            <w:r w:rsidRPr="00F90660">
              <w:rPr>
                <w:rFonts w:ascii="Times New Roman" w:eastAsia="SimSun" w:hAnsi="Times New Roman" w:cs="Times New Roman"/>
                <w:sz w:val="24"/>
                <w:szCs w:val="24"/>
                <w:vertAlign w:val="subscript"/>
              </w:rPr>
              <w:t>2.5</w:t>
            </w:r>
            <w:r w:rsidRPr="00F90660">
              <w:rPr>
                <w:rFonts w:ascii="Times New Roman" w:eastAsia="SimSun" w:hAnsi="Times New Roman" w:cs="Times New Roman"/>
                <w:sz w:val="24"/>
                <w:szCs w:val="24"/>
              </w:rPr>
              <w:t xml:space="preserve"> un PM</w:t>
            </w:r>
            <w:r w:rsidRPr="00F90660">
              <w:rPr>
                <w:rFonts w:ascii="Times New Roman" w:eastAsia="SimSun" w:hAnsi="Times New Roman" w:cs="Times New Roman"/>
                <w:sz w:val="24"/>
                <w:szCs w:val="24"/>
                <w:vertAlign w:val="subscript"/>
              </w:rPr>
              <w:t>10</w:t>
            </w:r>
            <w:r w:rsidRPr="00F90660">
              <w:rPr>
                <w:rFonts w:ascii="Times New Roman" w:eastAsia="SimSun" w:hAnsi="Times New Roman" w:cs="Times New Roman"/>
                <w:sz w:val="24"/>
                <w:szCs w:val="24"/>
              </w:rPr>
              <w:t>) no objektam tuvākās gaisa kvalitātes monitoringa stacijas, pasūtītājs norāda ODA kategoriju āra gaisam, atbilstoši harmonizētajā standartā LVS EN 16798-3:2018/NA:2020 „Ēku energoefektivitāte. Ēku ventilācija. 3. daļa: Nedzīvojamās ēkas. Veiktspējas prasības ventilācijas un telpu kondicionēšanas sistēmām (M5-1 un M5-4 moduļi). Nacionālais pielikums” dotajai metodoloģijai.</w:t>
            </w:r>
          </w:p>
          <w:p w14:paraId="4C85CDF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43B249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Projektēšanas uzdevumā būvniecības pasūtītājs norāda telpā piegādājamā gaisa kvalitātes kategoriju SUP telpu grupām, atbilstoši to funkcijām, saskaņā ar minētajā standartā noteikto principu. Ja telpām nav īpašas prasības, SUP kategoriju ieteicams izvēlēties atbilstoši Eurovent, 2017 rekomendācijām 4/23.</w:t>
            </w:r>
          </w:p>
          <w:p w14:paraId="2BF7A6F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6CD6A6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B11 Izbūves un apdares materiālu izvēle</w:t>
            </w:r>
          </w:p>
          <w:p w14:paraId="2179053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AC996C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 ēkas izbūvei un apdarei izvēlētie materiāli atbilst zemāk norādītajiem emisiju limitiem. Šī prasība attiecas uz:</w:t>
            </w:r>
          </w:p>
          <w:p w14:paraId="62A9FF9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EBE757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griestu plātnēm;</w:t>
            </w:r>
          </w:p>
          <w:p w14:paraId="5BADC9A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krāsām un lakām;</w:t>
            </w:r>
          </w:p>
          <w:p w14:paraId="351EAB1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grīdas un sienu tekstilsegumiem;</w:t>
            </w:r>
          </w:p>
          <w:p w14:paraId="749688D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laminātu un elastīgo grīdas segumu;</w:t>
            </w:r>
          </w:p>
          <w:p w14:paraId="4E0D7B9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5) koka un kompozītmateriāla grīdas segumu.</w:t>
            </w:r>
          </w:p>
          <w:p w14:paraId="764C6DF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D24339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Materiālu un apdares materiālu emisiju limiti (μg/m</w:t>
            </w:r>
            <w:r w:rsidRPr="00F90660">
              <w:rPr>
                <w:rFonts w:ascii="Times New Roman" w:eastAsia="SimSun" w:hAnsi="Times New Roman" w:cs="Times New Roman"/>
                <w:sz w:val="24"/>
                <w:szCs w:val="24"/>
                <w:vertAlign w:val="superscript"/>
              </w:rPr>
              <w:t>3</w:t>
            </w:r>
            <w:r w:rsidRPr="00F90660">
              <w:rPr>
                <w:rFonts w:ascii="Times New Roman" w:eastAsia="SimSun" w:hAnsi="Times New Roman" w:cs="Times New Roman"/>
                <w:sz w:val="24"/>
                <w:szCs w:val="24"/>
              </w:rPr>
              <w:t>).</w:t>
            </w:r>
          </w:p>
          <w:p w14:paraId="20DCEA9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61FC97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I. Kopējie gaistošie organiskie savienojumi </w:t>
            </w:r>
          </w:p>
          <w:p w14:paraId="1C80BFB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&lt; 300 μg/m</w:t>
            </w:r>
            <w:r w:rsidRPr="00F90660">
              <w:rPr>
                <w:rFonts w:ascii="Times New Roman" w:eastAsia="SimSun" w:hAnsi="Times New Roman" w:cs="Times New Roman"/>
                <w:sz w:val="24"/>
                <w:szCs w:val="24"/>
                <w:vertAlign w:val="superscript"/>
              </w:rPr>
              <w:t>3</w:t>
            </w:r>
            <w:r w:rsidRPr="00F90660">
              <w:rPr>
                <w:rFonts w:ascii="Times New Roman" w:eastAsia="SimSun" w:hAnsi="Times New Roman" w:cs="Times New Roman"/>
                <w:sz w:val="24"/>
                <w:szCs w:val="24"/>
              </w:rPr>
              <w:t xml:space="preserve"> 28 dienas pēc iebūves / ieklāšanas</w:t>
            </w:r>
          </w:p>
          <w:p w14:paraId="1246742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3E3560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II. Formaldehīds</w:t>
            </w:r>
          </w:p>
          <w:p w14:paraId="33695F6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-&lt; 30 μg/m</w:t>
            </w:r>
            <w:r w:rsidRPr="00F90660">
              <w:rPr>
                <w:rFonts w:ascii="Times New Roman" w:eastAsia="SimSun" w:hAnsi="Times New Roman" w:cs="Times New Roman"/>
                <w:sz w:val="24"/>
                <w:szCs w:val="24"/>
                <w:vertAlign w:val="superscript"/>
              </w:rPr>
              <w:t>3</w:t>
            </w:r>
          </w:p>
          <w:p w14:paraId="6C7CF59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0E6642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Izglītības un zinātnes iestāžu ēkās prasības apdares materiāliem nosaka atbilstoši Ministru kabineta 2021. gada 19. oktobra noteikumu Nr. 693 “Būvju vispārīgo prasību būvnormatīvs LBN 200-21” 11. nodaļas regulējumam.</w:t>
            </w:r>
          </w:p>
          <w:p w14:paraId="719D960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59113D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B20 Pasīvie iekštelpu klimata regulēšanas risinājumi</w:t>
            </w:r>
          </w:p>
          <w:p w14:paraId="69B2C04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9880F5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Projektā ir jāņem vērā, jāizvērtē un jāparedz sekojoši aspekti, kas uzlabo komfortu ēkas iekštelpās, samazinot mehānisko sistēmu pielietojumu un attiecīgi samazinot ēkas ekspluatācijas izmaksas:</w:t>
            </w:r>
          </w:p>
          <w:p w14:paraId="43C1F78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424F0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1. Pasīvā dzesēšana: </w:t>
            </w:r>
          </w:p>
          <w:p w14:paraId="21DEE74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1.1. Termiskā masa</w:t>
            </w:r>
          </w:p>
          <w:p w14:paraId="7F5C8FC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1.2. Iztvaikošanas dzesēšana</w:t>
            </w:r>
          </w:p>
          <w:p w14:paraId="1D049A1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1.3. Cits pasīvās dzesēšanas risinājums</w:t>
            </w:r>
          </w:p>
          <w:p w14:paraId="549915B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FE1E1E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Pasīvā sildīšana</w:t>
            </w:r>
          </w:p>
          <w:p w14:paraId="67A3E9A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2.1. Saules enerģijas izmantošana</w:t>
            </w:r>
          </w:p>
          <w:p w14:paraId="164889B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2.2. Termiskā masa</w:t>
            </w:r>
          </w:p>
          <w:p w14:paraId="77D8BCB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0CDE83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3. Pasīvā vēdināšana (dabiskā ventilācija): </w:t>
            </w:r>
          </w:p>
          <w:p w14:paraId="0652778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3.1. Šķērsventilācija jeb vēja izraisīta ventilācija </w:t>
            </w:r>
          </w:p>
          <w:p w14:paraId="24BF241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3.2. Skursteņa efekta jeb plūsmas, enerģijas vadīta ventilācija</w:t>
            </w:r>
          </w:p>
          <w:p w14:paraId="53D8883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4EE2AC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Pasīvā dzesēšana, apsildes un vēdināšanas risinājumu ietekme ir jāņem vērā AVK</w:t>
            </w:r>
            <w:r w:rsidRPr="00F90660">
              <w:rPr>
                <w:rFonts w:ascii="Times New Roman" w:eastAsia="SimSun" w:hAnsi="Times New Roman" w:cs="Times New Roman"/>
                <w:sz w:val="24"/>
                <w:szCs w:val="24"/>
                <w:vertAlign w:val="superscript"/>
              </w:rPr>
              <w:footnoteReference w:id="1"/>
            </w:r>
            <w:r w:rsidRPr="00F90660">
              <w:rPr>
                <w:rFonts w:ascii="Times New Roman" w:eastAsia="SimSun" w:hAnsi="Times New Roman" w:cs="Times New Roman"/>
                <w:sz w:val="24"/>
                <w:szCs w:val="24"/>
              </w:rPr>
              <w:t xml:space="preserve"> projektā.</w:t>
            </w:r>
          </w:p>
          <w:p w14:paraId="2FEBDFB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6F378D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Pārbūves projektiem kritēriju var nepiemērot, ja pastāv objektīvi ierobežojumi ieplānot pasīvos iekštelpu klimata regulēšanas risinājumus.</w:t>
            </w:r>
          </w:p>
          <w:p w14:paraId="4570349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C9D4B5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395FDF9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E12348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Būvniecībā paredzēti un izmantoti atgūtie materiāli vai komponentes.</w:t>
            </w:r>
          </w:p>
          <w:p w14:paraId="0B75ABC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C4BECD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nosaka konkrētu materiālu(-s) un / vai būves elementu(-s), kura(-u) sastāvā jāparedz atkārtoti izmantots(-i) un / vai viegli pārstrādājams(-i) materiāls(-i) vai komponente(-s). </w:t>
            </w:r>
          </w:p>
          <w:p w14:paraId="47CA2ED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273475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var noteikt prasības attiecībā uz minēto elementu un / vai komponenšu īpatsvaru būvē vai konstrukcijā. </w:t>
            </w:r>
          </w:p>
          <w:p w14:paraId="0B85BE8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4EA678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Prasību var attiecināt uz jebkuru komponenti vai konstrukciju. </w:t>
            </w:r>
          </w:p>
          <w:p w14:paraId="4F91976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F69441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Piemēram: </w:t>
            </w:r>
          </w:p>
          <w:p w14:paraId="24654C9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nesošajās konstrukcijās</w:t>
            </w:r>
          </w:p>
          <w:p w14:paraId="5D3825D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ārējās norobežojošās konstrukcijas vai to elementi</w:t>
            </w:r>
          </w:p>
          <w:p w14:paraId="4E10223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grīdas segumi</w:t>
            </w:r>
          </w:p>
          <w:p w14:paraId="5BFD568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apdares materiāli</w:t>
            </w:r>
          </w:p>
          <w:p w14:paraId="20EE060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sienu un / vai griestu paneļi</w:t>
            </w:r>
          </w:p>
          <w:p w14:paraId="666A648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u.tml. </w:t>
            </w:r>
          </w:p>
          <w:p w14:paraId="1AA07AE6"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733374A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3E96A7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CA68D8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6C90719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C63CB1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jomās, kurās pasūtītājs prasījis apliecināt pieredzi un par kurām tas būs atbildīgs līguma izpildes gaitā.</w:t>
            </w:r>
          </w:p>
          <w:p w14:paraId="1B72DB3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051A1A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76B466F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01DF6BB3"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4CF166B0"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80E7D6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EEE212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107AA04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B626B0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Tehniskā projekta izstrādes posmā pasūtītājs vai pasūtītāja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19B0B2B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AC5527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Pēc būvdarbu vai pārbūves darbu pabeigšanas pasūtītājs uzdod ēkas apsaimniekotājam veikt pastāvīgu enerģijas patēriņa monitoringu un 3 (trīs) gadus pēc būvdarbu pabeigšanas un ekspluatācijas uzsākšanas pasūtīt ēkas energosertificēšanu.</w:t>
            </w:r>
          </w:p>
          <w:p w14:paraId="6EF9E20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61A40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53DE66E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61E74E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jāsagatavo ēkas un / vai teritorijas plānus, kuros ir norādīta vieta vai vietas atkritumu šķirošanai un savākšanai, kā arī pieņēmumi, kas ir pamatā prognozēm par vajadzīgo vietu un infrastruktūru.</w:t>
            </w:r>
          </w:p>
          <w:p w14:paraId="2977724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666BAC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B7 Ūdens taupīšanas ietaises</w:t>
            </w:r>
          </w:p>
          <w:p w14:paraId="0E18EAC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CF3460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Atbilstību apliecina produktu datu lapas, kurās norādītie ūdens patēriņa parametri un darbības specifikācija atbilst tehniskajā specifikācijā minētajām prasībām.  </w:t>
            </w:r>
          </w:p>
          <w:p w14:paraId="4BD373A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08D58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B9 Vizuālais kontakts ar ārtelpu</w:t>
            </w:r>
          </w:p>
          <w:p w14:paraId="0FF3E87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B2B04D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Piegādātājam jāiesniedz modelēšanas dati par vizuālā kontakta ar ārtelpu apstākļiem. Vizuālais kontakts ar ārtelpu atbilst vidējam vai augstam rekomendāciju līmenim, atbilstoši harmonizētā standarta </w:t>
            </w:r>
            <w:r w:rsidRPr="00F90660">
              <w:rPr>
                <w:rFonts w:ascii="Times New Roman" w:eastAsia="SimSun" w:hAnsi="Times New Roman" w:cs="Times New Roman"/>
                <w:sz w:val="24"/>
                <w:szCs w:val="24"/>
              </w:rPr>
              <w:lastRenderedPageBreak/>
              <w:t>LVS EN 17037:2019 “Dienasgaisma ēkās” A.5 pielikumam (</w:t>
            </w:r>
            <w:r w:rsidRPr="00F90660">
              <w:rPr>
                <w:rFonts w:ascii="Times New Roman" w:eastAsia="SimSun" w:hAnsi="Times New Roman" w:cs="Times New Roman"/>
                <w:i/>
                <w:iCs/>
                <w:sz w:val="24"/>
                <w:szCs w:val="24"/>
              </w:rPr>
              <w:t>Vidējais līmenis: horizontālais skata leņķis ≥28</w:t>
            </w:r>
            <w:r w:rsidRPr="00F90660">
              <w:rPr>
                <w:rFonts w:ascii="Times New Roman" w:eastAsia="SimSun" w:hAnsi="Times New Roman" w:cs="Times New Roman"/>
                <w:i/>
                <w:iCs/>
                <w:sz w:val="24"/>
                <w:szCs w:val="24"/>
                <w:vertAlign w:val="superscript"/>
              </w:rPr>
              <w:t>0</w:t>
            </w:r>
            <w:r w:rsidRPr="00F90660">
              <w:rPr>
                <w:rFonts w:ascii="Times New Roman" w:eastAsia="SimSun" w:hAnsi="Times New Roman" w:cs="Times New Roman"/>
                <w:i/>
                <w:iCs/>
                <w:sz w:val="24"/>
                <w:szCs w:val="24"/>
              </w:rPr>
              <w:t>, ārējais attālums līdz skatam ≥20m, līmeņi, kam jābūt redzamiem no vismaz 75% lietderīgās platības (debesis, ainava, zeme) ietver ainavu un vēl vismaz vienu līmeni</w:t>
            </w:r>
            <w:r w:rsidRPr="00F90660">
              <w:rPr>
                <w:rFonts w:ascii="Times New Roman" w:eastAsia="SimSun" w:hAnsi="Times New Roman" w:cs="Times New Roman"/>
                <w:sz w:val="24"/>
                <w:szCs w:val="24"/>
              </w:rPr>
              <w:t>).</w:t>
            </w:r>
          </w:p>
          <w:p w14:paraId="5C646DA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CEEA6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Neizpilda pārbūves projektiem, ja pasūtītājs tehniskajā specifikācijā nav paredzējis prasību piemērot kritēriju.</w:t>
            </w:r>
          </w:p>
          <w:p w14:paraId="0402F8E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113E2C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72EFC7D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3D2F50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Projektētāja atbildība ir izvēlēties piemērotas kategorijas filtrus ventilācijas iekārtās, lai nodrošinātu pasūtītāja definēto pieplūdes gaisa  SUP kategoriju pie attiecīgās atrašanās vietas āra gaisa ODA kategorijas.</w:t>
            </w:r>
          </w:p>
          <w:p w14:paraId="7F0FC6A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B456AF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Pasūtītājs nosaka, ka ēkas apsaimniekotāja pienākums ir nodrošināt regulāras ventilācijas sistēmas apkopes (tai skaitā filtru nomaiņu), lai telpās nodrošinātu attiecīgo gaisa kvalitāti.</w:t>
            </w:r>
          </w:p>
          <w:p w14:paraId="512514F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6A1368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B11 Izbūves un apdares materiālu izvēle</w:t>
            </w:r>
          </w:p>
          <w:p w14:paraId="41B5656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7001F7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Projektētājam jādefinē izbūves un apdares materiāli, kas nodrošinās atbilstību tehniskajā specifikācijā šim kritērijam noteiktajām maksimāli pieļaujamajām gaistošo organisko savienojumu un formaldehīda satura normām. Tāpat būs jānodrošina produkta vides deklarācijas (PVD) saskaņā ar harmonizēto standartu LVS ISO 21930 “Ēku un inženierbūvju ilgtspējība. Pamatnoteikumi būvizstrādājumu un būvniecības pakalpojumu vides deklarācijām” visiem izvēlētajiem izbūves un apdares materiāliem, kas atradīsies tiešā saskarē ar telpas lietotājiem, tai skaitā: </w:t>
            </w:r>
          </w:p>
          <w:p w14:paraId="0AC5276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griestu plātnēm;</w:t>
            </w:r>
          </w:p>
          <w:p w14:paraId="4884585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krāsām un lakām;</w:t>
            </w:r>
          </w:p>
          <w:p w14:paraId="183E63A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grīdas un sienu tekstilsegumiem;</w:t>
            </w:r>
          </w:p>
          <w:p w14:paraId="2C824AF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4) laminātu un elastīgo grīdas segumiem;</w:t>
            </w:r>
          </w:p>
          <w:p w14:paraId="1D83009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5) koka un kompozītmateriāla grīdas segumiem.</w:t>
            </w:r>
          </w:p>
          <w:p w14:paraId="45BB257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798C99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B20 Pasīvie iekštelpu klimata regulēšanas risinājumi</w:t>
            </w:r>
          </w:p>
          <w:p w14:paraId="7B7AF97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7C0AF2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Pretendentam jāizvērtē efektīvākie pasīvās dzesēšanas risinājumi un jāparedz virsmas vienu no dabiskās ventilācijas veidiem. </w:t>
            </w:r>
          </w:p>
          <w:p w14:paraId="760D620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A76C37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jāizvērtē efektīvākos pasīvās apsildes risinājumus un jāparedz realizācijai virsmas divus tiem. Jāņem vērā ēkas novietojums, dabiskais reljefs, esošo būvju un objektu radītais noēnojums.</w:t>
            </w:r>
          </w:p>
          <w:p w14:paraId="3934ADA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4F7A7C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jāizvērtē efektīvākos dabiskās jeb pasīvās vēdināšanas risinājumus un jāparedz tos projektā. Pasīvās ventilācijas risinājumi pēc vajadzības jākombinē ar mehānisko un piespiedu ventilāciju.</w:t>
            </w:r>
          </w:p>
          <w:p w14:paraId="1BEC66A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72A8A4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Neizpilda pārbūves projektiem, ja pasūtītājs tehniskajā specifikācijā nav paredzējis prasību piemērot kritēriju.</w:t>
            </w:r>
          </w:p>
          <w:p w14:paraId="1606AFF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998593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04A444D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CF1B11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Projektētājs specificē izmantojamo materiālu un / vai būves elementu, tā atkārtoti izmantotās komponentes apjomu. </w:t>
            </w:r>
          </w:p>
          <w:p w14:paraId="4F248A8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7E3A44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Būvuzņēmējs apliecina atkārtoti izmantotā vai viegli pārstrādājama materiāla izmantošanu, iesniedzot produkta vides deklarāciju (saskaņā ar standartu EN ISO 14025:2010 Vides marķējumi un deklarācijas. Trešā tipa vides deklarācijas. Principi un procedūras (ISO 14025:2006) )</w:t>
            </w:r>
          </w:p>
          <w:p w14:paraId="032210F6"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63FD460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67568F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C.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0A6DCDEE"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147C7E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19CDE24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384FFF8D"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181CFA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C08B36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54D75FE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5878A9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Būvdarbu vadītājam ir pieredze norādītajās jomās, par kuru tas atbilstoši līgumam būs atbildīgs (izvēlēties attiecīgo konkrētam līgumam):</w:t>
            </w:r>
          </w:p>
          <w:p w14:paraId="1BDDBDD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4C8D74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būvdarbos jaunbūvju un/vai ēku atjaunošanas projektos (atzīmēt atbilstošo), tostarp dati (ja pieejami) par pabeigtu projektu izmērīto energopatēriņu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47F736B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1FA598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(BEMS) vai ekvivalentu sistēmu uzstādīšanā, ēkas apsaimniekotāju informēšanā par to, kā tās izmantot;</w:t>
            </w:r>
          </w:p>
          <w:p w14:paraId="2C4A5EF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C2A4DE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pieredze ūdens patēriņa ziņā efektīvu sistēmu uzstādīšanā, tostarp dati (ja pieejami) par pabeigtu projektu izmērīto ūdens patēriņu uz darbinieku;</w:t>
            </w:r>
          </w:p>
          <w:p w14:paraId="3DFB496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C3C780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pieredze nojaukšanas un būvlaukuma atkritumu apsaimniekošanas plānu sekmīgā īstenošanā, maksimāli samazinot atkritumu apjomu, t.sk. arīzināšanas un pieredze nodrošinot atkritumu apstrādes iespējas ārpus būvlaukuma.</w:t>
            </w:r>
          </w:p>
          <w:p w14:paraId="66D6269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09384F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Attiecināmo prasību precizē, atkarībā no ēkas funkcijas/-ām un funkcionalitātes ēkā.</w:t>
            </w:r>
          </w:p>
          <w:p w14:paraId="765FBE5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2169AB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Pierādījumi: 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483A9A2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B398A9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3985847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2378E04"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16E8FF64"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00BA4B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9BB71F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771047C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69E93D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4C9A13A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DF05C6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1916F0B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201D1630"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21D3AA91"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39A4B8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150A70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1E25873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0C165F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Visiem kokmateriāliem vai koka izstrādājumiem, kas paredzēti iebūvei ēkā vai labiekārtojumos, jābūt iegūtiem no ilgtspējīgi apsaimniekotiem mežiem.</w:t>
            </w:r>
          </w:p>
          <w:p w14:paraId="3671301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F4E8BC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Kritērijs attiecas uz iebūvējamo kokmateriālu un koksnes produktiem. Neattiecas uz </w:t>
            </w:r>
            <w:r w:rsidRPr="00F90660">
              <w:rPr>
                <w:rFonts w:ascii="Times New Roman" w:eastAsia="SimSun" w:hAnsi="Times New Roman" w:cs="Times New Roman"/>
                <w:i/>
                <w:iCs/>
                <w:sz w:val="24"/>
                <w:szCs w:val="24"/>
              </w:rPr>
              <w:t>tehnisko koksni</w:t>
            </w:r>
            <w:r w:rsidRPr="00F90660">
              <w:rPr>
                <w:rFonts w:ascii="Times New Roman" w:eastAsia="SimSun" w:hAnsi="Times New Roman" w:cs="Times New Roman"/>
                <w:sz w:val="24"/>
                <w:szCs w:val="24"/>
              </w:rPr>
              <w:t xml:space="preserve"> – materiāls izmantots pagaidu konstrukcijās, tai skaitā, piemēram, veidņiem, drošības nožogojumam, barjerām būvniecības laikā u.tml.  </w:t>
            </w:r>
          </w:p>
          <w:p w14:paraId="7355AF6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93604C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686195A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2B7790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53AA7B9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E55758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3F8B9D8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A2829AC"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6C4946F5"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043328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3CF715B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6E0862F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2CAAAD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FSC vai PFSC sertifikāts kokmteriāliem un / vai koka izstrādājumiem vai līdzvērtīgs notificētas iestādes apliecinājums par kokmateriālu un koksnes produktu atbilstību Eiropas Parlamenta un Padomes Regulas (ES) Nr. 995/2010 ( 2010. gada 20. oktobris ), ar ko nosaka pienākumus tirgus dalībniekiem, kas laiž tirgū kokmateriālus un koka izstrādājumus prasībām.</w:t>
            </w:r>
          </w:p>
          <w:p w14:paraId="44093B5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1368A1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145D710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FC4C72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1B18AE7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CEA8EE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Būvniecības 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6D7A300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91682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C22 Izbūves un apdares materiālu ietekme uz iekštelpu gaisa kvalitāti</w:t>
            </w:r>
          </w:p>
          <w:p w14:paraId="7C55009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405C1E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nedēļas pēc apdares darbu pabeigšanas būvuzņēmējs veic mērījumus telpās atbilstoši EN ISO 16000-6 un 16000-3, lai konstatētu kopējo gaistošo organisko savienojumu un formaldehīdu saturu iekštelpu gaisā.</w:t>
            </w:r>
          </w:p>
          <w:p w14:paraId="4BECBBB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uzmērīto gaistošo organisko savienojumu un formaldehīdu saturs iekštelpu gaisā pārsniedz B11 kritērijam izvirzītās prasības, ZPI prasības nav izpildītas un ēka neatbilst ZPI nosacījumiem.</w:t>
            </w:r>
          </w:p>
          <w:p w14:paraId="53EA64E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22DAA5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0CEC9CD5"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52340BF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1BB7FA9" w14:textId="77777777" w:rsidR="00F90660" w:rsidRPr="00F90660" w:rsidRDefault="00F90660" w:rsidP="00F90660">
      <w:pPr>
        <w:spacing w:after="120" w:line="264" w:lineRule="auto"/>
        <w:jc w:val="both"/>
        <w:rPr>
          <w:rFonts w:ascii="Times New Roman" w:eastAsia="SimSun" w:hAnsi="Times New Roman" w:cs="Times New Roman"/>
          <w:b/>
          <w:bCs/>
          <w:sz w:val="24"/>
          <w:szCs w:val="24"/>
        </w:rPr>
      </w:pPr>
      <w:r w:rsidRPr="00F90660">
        <w:rPr>
          <w:rFonts w:ascii="Times New Roman" w:eastAsia="SimSun" w:hAnsi="Times New Roman" w:cs="Times New Roman"/>
          <w:b/>
          <w:bCs/>
          <w:sz w:val="24"/>
          <w:szCs w:val="24"/>
        </w:rPr>
        <w:t>8.2. dzīvojamās ēkas (112, 113) un veselības aprūpes iestādes (1264) jaunas būvniecības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3DDC1F06"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011D3F1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A099D1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784D686B"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09EF9C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2DE2186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Dzīvojamās ēkas un / vai veselības aprūpes iestādes jauna būvniecība vai projektēšanas un būvniecības pakalpojumi</w:t>
            </w:r>
          </w:p>
          <w:p w14:paraId="55CEBC3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718A9C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08354E6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00D472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Dzīvojamās ēkas un / vai veselības aprūpes iestādes pārbūve vai projektēšanas un pārbūves pakalpojumi</w:t>
            </w:r>
          </w:p>
          <w:p w14:paraId="186F10B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7E1E24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2FB2871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EF5682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Dzīvojamās ēkas un / vai veselības aprūpes iestādes projektēšana</w:t>
            </w:r>
          </w:p>
          <w:p w14:paraId="57A88D9B"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4CABCD6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5F3BE0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 ZPI prasības un kritēriji projektēšanas sagatavošanai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0F6DCB47"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22CF36E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279A2F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66B23CF5"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021C2BB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DC558C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66EABF1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6B1406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Atkarībā no ēkas lietošanas mērķa(-iem) un funkcijas(-ām), pasūtītājs izvirza tikai pirmo, vai arī vairākas no zemāk minētajām prasībām attiecībā uz būvprojekta izstrādātāju pieredzi:</w:t>
            </w:r>
          </w:p>
          <w:p w14:paraId="68FF821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D2F40D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projektēšanā jaunbūvju un/vai ēku pārbūves projektos (atbilstoši iepirkuma specifikai), tostarp dati par pabeigtu projektu izmērīto energoefektivitāti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08D75BB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8E531C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uzstādīšanā, ēkas apsaimniekotāju informēšanā par to ekspluatāciju un izmantošanu, lai konstatētu, kāds ir ēkas energopatēriņa modelis;</w:t>
            </w:r>
          </w:p>
          <w:p w14:paraId="1BB353A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99D9FB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 xml:space="preserve">Pierādījumi: </w:t>
            </w:r>
          </w:p>
          <w:p w14:paraId="3F03F13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154A83E2"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5ED9644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4E82F5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5B574C92"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A6CDDA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D7FCFE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30ECF6FF"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F2168D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FC0A85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1D08264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CB1E6B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jaunas būvniecības iepirkumiem būves kopējās primārās enerģijas patēriņa novērtējums kWh/m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gadā atbilst A+ klasei un primārās neatjaunojamās enerģijas patēriņa novērtējums nepārsniedz 60 %. </w:t>
            </w:r>
          </w:p>
          <w:p w14:paraId="2FED8BD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719C2B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pārbūves darbu iepirkumā būves kopējo primāro enerģijas patēriņa novērtējumu var noteikt A klases līmenī, tai skaitā primārās neatjaunojamās enerģijas patēriņa novērtējums ir lielāks par 60%.</w:t>
            </w:r>
          </w:p>
          <w:p w14:paraId="4250C97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04EB1C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B5 Velosipēdu un mikromobilitātes transporta līdzekļu novietne</w:t>
            </w:r>
          </w:p>
          <w:p w14:paraId="5606F25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38ACAC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5E929E8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9D826D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Ja pasūtītājs ir paredzējis uzlādes punktu ierīkošanu ar elektrību darbināmajiem mikromobilitātes transporta līdzekļiem, pretendentam ir  jāizvērtē optimālākais risinājums un jānosaka </w:t>
            </w:r>
            <w:r w:rsidRPr="00F90660">
              <w:rPr>
                <w:rFonts w:ascii="Times New Roman" w:eastAsia="SimSun" w:hAnsi="Times New Roman" w:cs="Times New Roman"/>
                <w:sz w:val="24"/>
                <w:szCs w:val="24"/>
              </w:rPr>
              <w:lastRenderedPageBreak/>
              <w:t>nepieciešamo uzlādes punktu skaits, ņemot vērā plānoto pieprasījuma dinamiku.</w:t>
            </w:r>
          </w:p>
          <w:p w14:paraId="3455D2E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B87C8F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0336AE8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3D1A33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 vai tai piegulošajā teritorijā paredz iesegtu, apjumtu un apgaismotu atrkritumu glabātavu, lai ēkas lietotājiem nodrošinātu pārstrādājamu materiālu šķirošanu.</w:t>
            </w:r>
          </w:p>
          <w:p w14:paraId="7C6E733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446920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Pieņēmumi, kas ir pamatā prognozēm par vajadzīgo vietu, ir balstīti metodoloģijā, kas noteikta Ministru kabineta 2017. gada 13. jūnija noteikumos Nr. 328 “Kritēriji un kārtība, kādā novērtē atkritumu dalītās savākšanas pakalpojuma pieejamību iedzīvotājiem”, Ministru kabineta 2016. gada 13. decembra noteikumos Nr. 788 “Noteikumi par atkritumu savākšanas un šķirošanas vietām”,  kā arī attiecīgās pašvaldības saistošajos noteikumos un labās prakses piemēros.</w:t>
            </w:r>
          </w:p>
          <w:p w14:paraId="125C94A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4C04F9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B9 Vizuālais kontakts ar ārtelpu</w:t>
            </w:r>
          </w:p>
          <w:p w14:paraId="60B959A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1B1055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Nepastarpinātam vizuālajam kontaktam ar ārtelpu (skatam uz ārtelpu) jābūt vismaz ≥75% no ēkas lietderīgās platības.</w:t>
            </w:r>
          </w:p>
          <w:p w14:paraId="3F26410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99A924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Vienlaikus projektā ir paredzēta saules aizsardzība, aizsardzība pret apžilbinājumu un saules radiāciju.</w:t>
            </w:r>
          </w:p>
          <w:p w14:paraId="79E964C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9CB599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Pārbūves projektiem kritēriju var nepiemērot, ja pastāv objektīvi ierobežojumi pārplānot ēku tā, lai  nodrošinātu kritērija prasības, vai arī plānotie pārbūves darbi neskar konstrukcijas vai zonas, kuru pārbūve nodrošinātu vizuālā kontakta ar ārtelpu prasības.</w:t>
            </w:r>
          </w:p>
          <w:p w14:paraId="5937E98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1063EA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779D598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A7FEB2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Vietās, kur āra gaisa kvalitāte ir zemāka par ODA 1 kategoriju, izmantojot vismaz 2 pēdējo gadu gaisa kvalitātes monitoringa datus </w:t>
            </w:r>
            <w:r w:rsidRPr="00F90660">
              <w:rPr>
                <w:rFonts w:ascii="Times New Roman" w:eastAsia="SimSun" w:hAnsi="Times New Roman" w:cs="Times New Roman"/>
                <w:sz w:val="24"/>
                <w:szCs w:val="24"/>
              </w:rPr>
              <w:lastRenderedPageBreak/>
              <w:t>par gaisā suspendēto cieto daļiņu koncentrāciju (PM</w:t>
            </w:r>
            <w:r w:rsidRPr="00F90660">
              <w:rPr>
                <w:rFonts w:ascii="Times New Roman" w:eastAsia="SimSun" w:hAnsi="Times New Roman" w:cs="Times New Roman"/>
                <w:sz w:val="24"/>
                <w:szCs w:val="24"/>
                <w:vertAlign w:val="subscript"/>
              </w:rPr>
              <w:t>2.5</w:t>
            </w:r>
            <w:r w:rsidRPr="00F90660">
              <w:rPr>
                <w:rFonts w:ascii="Times New Roman" w:eastAsia="SimSun" w:hAnsi="Times New Roman" w:cs="Times New Roman"/>
                <w:sz w:val="24"/>
                <w:szCs w:val="24"/>
              </w:rPr>
              <w:t xml:space="preserve"> un PM</w:t>
            </w:r>
            <w:r w:rsidRPr="00F90660">
              <w:rPr>
                <w:rFonts w:ascii="Times New Roman" w:eastAsia="SimSun" w:hAnsi="Times New Roman" w:cs="Times New Roman"/>
                <w:sz w:val="24"/>
                <w:szCs w:val="24"/>
                <w:vertAlign w:val="subscript"/>
              </w:rPr>
              <w:t>10</w:t>
            </w:r>
            <w:r w:rsidRPr="00F90660">
              <w:rPr>
                <w:rFonts w:ascii="Times New Roman" w:eastAsia="SimSun" w:hAnsi="Times New Roman" w:cs="Times New Roman"/>
                <w:sz w:val="24"/>
                <w:szCs w:val="24"/>
              </w:rPr>
              <w:t>) no objektam tuvākās gaisa kvalitātes monitoringa stacijas, pasūtītājs norāda ODA kategoriju āra gaisam, atbilstoši harmonizētajā standartā LVS EN 16798-3:2018/NA:2020 „Ēku energoefektivitāte. Ēku ventilācija. 3. daļa: Nedzīvojamās ēkas. Veiktspējas prasības ventilācijas un telpu kondicionēšanas sistēmām (M5-1 un M5-4 moduļi). Nacionālais pielikums” dotajai metodoloģijai.</w:t>
            </w:r>
          </w:p>
          <w:p w14:paraId="486E0F7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154143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Projektēšanas uzdevumā pasūtītājs norāda telpā piegādājamā gaisa kvalitātes kategoriju SUP telpu grupām, atbilstoši to funkcijām, saskaņā ar minētajā standartā noteikto principu. Ja telpām nav īpašas prasības, SUP kategoriju ieteicams izvēlēties atbilstoši Eurovent, 2017 rekomendācijām 4/23.</w:t>
            </w:r>
          </w:p>
          <w:p w14:paraId="5198162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296113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B11 Izbūves un apdares materiālu izvēle</w:t>
            </w:r>
          </w:p>
          <w:p w14:paraId="6220007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0BDBA2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 dzīvojamās ēkas izbūvei un apdarei izvēlētie materiāli atbilst zemāk norādītajiem emisiju limitiem. Šī prasība attiecas uz:</w:t>
            </w:r>
          </w:p>
          <w:p w14:paraId="099A5DF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2141F6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griestu plātnēm;</w:t>
            </w:r>
          </w:p>
          <w:p w14:paraId="59069B9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krāsām un lakām;</w:t>
            </w:r>
          </w:p>
          <w:p w14:paraId="6D8C8D4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grīdas un sienu tekstilsegumiem;</w:t>
            </w:r>
          </w:p>
          <w:p w14:paraId="441578B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laminātu un elastīgo grīdas segumu;</w:t>
            </w:r>
          </w:p>
          <w:p w14:paraId="06C427A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5) koka un kompozītmateriāla grīdas segumu.</w:t>
            </w:r>
          </w:p>
          <w:p w14:paraId="2E31BCC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52333D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Materiālu un apdares materiālu emisiju limiti (μg/m</w:t>
            </w:r>
            <w:r w:rsidRPr="00F90660">
              <w:rPr>
                <w:rFonts w:ascii="Times New Roman" w:eastAsia="SimSun" w:hAnsi="Times New Roman" w:cs="Times New Roman"/>
                <w:sz w:val="24"/>
                <w:szCs w:val="24"/>
                <w:vertAlign w:val="superscript"/>
              </w:rPr>
              <w:t>3</w:t>
            </w:r>
            <w:r w:rsidRPr="00F90660">
              <w:rPr>
                <w:rFonts w:ascii="Times New Roman" w:eastAsia="SimSun" w:hAnsi="Times New Roman" w:cs="Times New Roman"/>
                <w:sz w:val="24"/>
                <w:szCs w:val="24"/>
              </w:rPr>
              <w:t>).</w:t>
            </w:r>
          </w:p>
          <w:p w14:paraId="7287D4D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FFDC00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I. Kopējie gaistošie organiskie savienojumi </w:t>
            </w:r>
          </w:p>
          <w:p w14:paraId="24BCD11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&lt; 300 μg/m</w:t>
            </w:r>
            <w:r w:rsidRPr="00F90660">
              <w:rPr>
                <w:rFonts w:ascii="Times New Roman" w:eastAsia="SimSun" w:hAnsi="Times New Roman" w:cs="Times New Roman"/>
                <w:sz w:val="24"/>
                <w:szCs w:val="24"/>
                <w:vertAlign w:val="superscript"/>
              </w:rPr>
              <w:t>3</w:t>
            </w:r>
            <w:r w:rsidRPr="00F90660">
              <w:rPr>
                <w:rFonts w:ascii="Times New Roman" w:eastAsia="SimSun" w:hAnsi="Times New Roman" w:cs="Times New Roman"/>
                <w:sz w:val="24"/>
                <w:szCs w:val="24"/>
              </w:rPr>
              <w:t xml:space="preserve"> 28 dienas pēc iebūves / ieklāšanas</w:t>
            </w:r>
          </w:p>
          <w:p w14:paraId="7AAE458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AF4F8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II. Formaldehīds</w:t>
            </w:r>
          </w:p>
          <w:p w14:paraId="02899F2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-&lt; 30 μg/m</w:t>
            </w:r>
            <w:r w:rsidRPr="00F90660">
              <w:rPr>
                <w:rFonts w:ascii="Times New Roman" w:eastAsia="SimSun" w:hAnsi="Times New Roman" w:cs="Times New Roman"/>
                <w:sz w:val="24"/>
                <w:szCs w:val="24"/>
                <w:vertAlign w:val="superscript"/>
              </w:rPr>
              <w:t>3</w:t>
            </w:r>
          </w:p>
          <w:p w14:paraId="74ABFAE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4C5584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Veselības aprūpes ēkās prasības apdares materiāliem nosaka atbilstoši Ministru kabineta 2021. gada 19. oktobra noteikumu Nr. 693 “Būvju vispārīgo prasību būvnormatīvs LBN 200-21” 11. nodaļas regulējumam.</w:t>
            </w:r>
          </w:p>
          <w:p w14:paraId="21D9271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2BC674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B20 Pasīvie iekštelpu klimata regulēšanas risinājumi</w:t>
            </w:r>
          </w:p>
          <w:p w14:paraId="30D3002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9B9F7E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Projektā ir jāņem vērā, jāizvērtē un jāparedz sekojoši aspekti, kas uzlabo komfortu ēkas iekštelpās, samazinot mehānisko sistēmu pielietojumu un attiecīgi samazinot ēkas ekspluatācijas izmaksas:</w:t>
            </w:r>
          </w:p>
          <w:p w14:paraId="5E68AFB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12AB66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1. Pasīvā dzesēšana: </w:t>
            </w:r>
          </w:p>
          <w:p w14:paraId="0EA592D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1.1. Termiskā masa</w:t>
            </w:r>
          </w:p>
          <w:p w14:paraId="00FE5BA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1.2. Iztvaikošanas dzesēšana</w:t>
            </w:r>
          </w:p>
          <w:p w14:paraId="390FF07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1.3. Cits pasīvās dzesēšanas risinājums</w:t>
            </w:r>
          </w:p>
          <w:p w14:paraId="3387C47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A87FA7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Pasīvā sildīšana</w:t>
            </w:r>
          </w:p>
          <w:p w14:paraId="4DA18CA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2.1. Saules enerģijas izmantošana</w:t>
            </w:r>
          </w:p>
          <w:p w14:paraId="499D338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2.2. Termiskā masa</w:t>
            </w:r>
          </w:p>
          <w:p w14:paraId="2ECF054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70B68D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3. Pasīvā vēdināšana (dabiskā ventilācija): </w:t>
            </w:r>
          </w:p>
          <w:p w14:paraId="6BC0C77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3.1. Šķērsventilācija jeb vēja izraisīta ventilācija </w:t>
            </w:r>
          </w:p>
          <w:p w14:paraId="5DB1A44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3.2. Skursteņa efekta jeb plūsmas, enerģijas vadīta ventilācija</w:t>
            </w:r>
          </w:p>
          <w:p w14:paraId="02F9307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CC4D67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Pasīvā dzesēšana, apsildes un vēdināšanas risinājumu ietekme ir jāņem vērā AVK projektā.</w:t>
            </w:r>
          </w:p>
          <w:p w14:paraId="1664648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47182F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Pārbūves projektiem kritēriju var nepiemērot, ja pastāv objektīvi ierobežojumi paredzēt pasīvos iekštelpu klimata regulēšanas risinājumus.</w:t>
            </w:r>
          </w:p>
          <w:p w14:paraId="31B9CAC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FA4B24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2C57DE9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202A19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Būvniecībā paredzēti un izmantoti atgūtie materiāli vai komponentes.</w:t>
            </w:r>
          </w:p>
          <w:p w14:paraId="79FEF9A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5BD1C1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nosaka konkrētu materiālu(-s) un / vai būves elementu(-s), kura(-u) sastāvā jāparedz atkārtoti izmantots(-i) un / vai viegli pārstrādājams(-i) materiāls(-i) vai komponente(-s). </w:t>
            </w:r>
          </w:p>
          <w:p w14:paraId="02EA974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CB9AC1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var noteikt prasības attiecībā uz minēto elementu un / vai komponenšu īpatsvaru būvē vai konstrukcijā. </w:t>
            </w:r>
          </w:p>
          <w:p w14:paraId="7A0B1A5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6FF3AE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Prasību var attiecināt uz jebkuru komponenti vai konstrukciju. Piemēram: </w:t>
            </w:r>
          </w:p>
          <w:p w14:paraId="58827C2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nesošajās konstrukcijās</w:t>
            </w:r>
          </w:p>
          <w:p w14:paraId="20E23A7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ārējās norobežojošās konstrukcijas vai to elementi</w:t>
            </w:r>
          </w:p>
          <w:p w14:paraId="21E9AD9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grīdas segumi</w:t>
            </w:r>
          </w:p>
          <w:p w14:paraId="1CB542D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apdares materiāli</w:t>
            </w:r>
          </w:p>
          <w:p w14:paraId="70D1E26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sienu un / vai griestu paneļi</w:t>
            </w:r>
          </w:p>
          <w:p w14:paraId="3EE89C3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u.tml. </w:t>
            </w:r>
          </w:p>
          <w:p w14:paraId="7CBE7073"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514A0E9F"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0DCC5AF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3CBB19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6869D11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E873F5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6595BA3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C164A2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3E281A3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Informācija un atsauksmes, par attiecīgiem līgumiem iepriekšējo 5 gadu laikā, kas ietvēruši pasūtītāja norādīto darbu īstenošanu un datus par rezultātu mērījumiem. Piegādātājs pievieno to speciālistu </w:t>
            </w:r>
            <w:r w:rsidRPr="00F90660">
              <w:rPr>
                <w:rFonts w:ascii="Times New Roman" w:eastAsia="SimSun" w:hAnsi="Times New Roman" w:cs="Times New Roman"/>
                <w:sz w:val="24"/>
                <w:szCs w:val="24"/>
              </w:rPr>
              <w:lastRenderedPageBreak/>
              <w:t>CV, kuri strādās pie projekta, kā arī apliecinājumu, ka speciālists veicis profesionālu pilnveidošanos attiecīgajās jomās.</w:t>
            </w:r>
          </w:p>
          <w:p w14:paraId="23821AC7"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5E5B9D22"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11FCAC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BB3B03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177B884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928711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Tehniskā projekta izstrādes posmā pasūtītājs vai pasūtītāja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1F86B8D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E6E39A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Pēc būvdarbu vai pārbūves darbu pabeigšanas pasūtītājs uzdod ēkas apsaimniekotājam veikt pastāvīgu enerģijas patēriņa monitoringu un 3 (trīs) gadus pēc būvdarbu pabeigšanas un ekspluatācijas uzsākšanas pasūtīt ēkas energosertificēšanu.</w:t>
            </w:r>
          </w:p>
          <w:p w14:paraId="35A730F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A0F018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5CBB351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4EFCBE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jāsagatavo ēkas un / vai teritorijas plānus, kuros ir norādīta vieta vai vietas atkritumu šķirošanai un savākšanai, kā arī pieņēmumi, kas ir pamatā prognozēm par vajadzīgo vietu un infrastruktūru.</w:t>
            </w:r>
          </w:p>
          <w:p w14:paraId="4E6D567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39C253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B9 Vizuālais kontakts ar ārtelpu</w:t>
            </w:r>
          </w:p>
          <w:p w14:paraId="284CC27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3CC2E8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Piegādātājam jāiesniedz modelēšanas dati par vizuālā kontakta ar ārtelpu apstākļiem. Vizuālais kontakts ar ārtelpu atbilst vidējam vai augstam rekomendāciju līmenim, atbilstoši harmonizētā standarta LVS EN 17037:2019 “Dienasgaisma ēkās” A.5 pielikumam (</w:t>
            </w:r>
            <w:r w:rsidRPr="00F90660">
              <w:rPr>
                <w:rFonts w:ascii="Times New Roman" w:eastAsia="SimSun" w:hAnsi="Times New Roman" w:cs="Times New Roman"/>
                <w:i/>
                <w:iCs/>
                <w:sz w:val="24"/>
                <w:szCs w:val="24"/>
              </w:rPr>
              <w:t>Vidējais līmenis: horizontālais skata leņķis ≥28</w:t>
            </w:r>
            <w:r w:rsidRPr="00F90660">
              <w:rPr>
                <w:rFonts w:ascii="Times New Roman" w:eastAsia="SimSun" w:hAnsi="Times New Roman" w:cs="Times New Roman"/>
                <w:i/>
                <w:iCs/>
                <w:sz w:val="24"/>
                <w:szCs w:val="24"/>
                <w:vertAlign w:val="superscript"/>
              </w:rPr>
              <w:t>0</w:t>
            </w:r>
            <w:r w:rsidRPr="00F90660">
              <w:rPr>
                <w:rFonts w:ascii="Times New Roman" w:eastAsia="SimSun" w:hAnsi="Times New Roman" w:cs="Times New Roman"/>
                <w:i/>
                <w:iCs/>
                <w:sz w:val="24"/>
                <w:szCs w:val="24"/>
              </w:rPr>
              <w:t>, ārējais attālums līdz skatam ≥20m, līmeņi, kam jābūt redzamiem no vismaz 75% lietderīgās platības (debesis, ainava, zeme) ietver ainavu un vēl vismaz vienu līmeni</w:t>
            </w:r>
            <w:r w:rsidRPr="00F90660">
              <w:rPr>
                <w:rFonts w:ascii="Times New Roman" w:eastAsia="SimSun" w:hAnsi="Times New Roman" w:cs="Times New Roman"/>
                <w:sz w:val="24"/>
                <w:szCs w:val="24"/>
              </w:rPr>
              <w:t>).</w:t>
            </w:r>
          </w:p>
          <w:p w14:paraId="6B2119A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FE2E3A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Neizpilda pārbūves projektiem, ja pasūtītājs tehniskajā specifikācijā nav paredzējis prasību piemērot kritēriju.</w:t>
            </w:r>
          </w:p>
          <w:p w14:paraId="6E4372F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C9EB26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5F2F855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D1C407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Projektētāja atbildība ir izvēlēties piemērotas kategorijas filtrus ventilācijas iekārtās, lai nodrošinātu pasūtītāja definēto pieplūdes gaisa  SUP kategoriju pie attiecīgās atrašanās vietas āra gaisa ODA kategorijas.</w:t>
            </w:r>
          </w:p>
          <w:p w14:paraId="7FE1DC7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6D4774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Pasūtītājs nosaka, ka ēkas apsaimniekotāja pienākums ir nodrošināt regulāras ventilācijas sistēmas apkopes (tai skaitā filtru nomaiņu), lai telpās nodrošinātu attiecīgo gaisa kvalitāti.</w:t>
            </w:r>
          </w:p>
          <w:p w14:paraId="6FF0F74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4B046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B11 Izbūves un apdares materiālu izvēle</w:t>
            </w:r>
          </w:p>
          <w:p w14:paraId="7AF4EAC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0E1100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Projektētājam jādefinē izbūves un apdares materiāli, kas nodrošinās atbilstību tehniskajā specifikācijā šim kritērijam noteiktajām maksimāli pieļaujamajām gaistošo organisko savienojumu un formaldehīda satura normām. Tāpat būs jānodrošina produkta vides deklarācijas (PVD) saskaņā ar harmonizēto standartu LVS ISO 21930 “Ēku un inženierbūvju ilgtspējība. Pamatnoteikumi būvizstrādājumu un būvniecības pakalpojumu vides deklarācijām” visiem izvēlētajiem izbūves un apdares materiāliem, kas atradīsies tiešā saskarē ar telpas lietotājiem, tai skaitā: </w:t>
            </w:r>
          </w:p>
          <w:p w14:paraId="75305D5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griestu plātnēm;</w:t>
            </w:r>
          </w:p>
          <w:p w14:paraId="5B7AB8E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krāsām un lakām;</w:t>
            </w:r>
          </w:p>
          <w:p w14:paraId="0E14B3D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grīdas un sienu tekstilsegumiem;</w:t>
            </w:r>
          </w:p>
          <w:p w14:paraId="4B44EA5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laminātu un elastīgo grīdas segumiem;</w:t>
            </w:r>
          </w:p>
          <w:p w14:paraId="2DE0041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5) koka un kompozītmateriāla grīdas segumiem.</w:t>
            </w:r>
          </w:p>
          <w:p w14:paraId="060AE94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BA46F0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B20 Pasīvie iekštelpu klimata regulēšanas risinājumi</w:t>
            </w:r>
          </w:p>
          <w:p w14:paraId="1E456E9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8B140B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Pretendentam jāizvērtē efektīvākie pasīvās dzesēšanas risinājumi un jāparedz virsmas vienu no dabiskās ventilācijas veidiem. </w:t>
            </w:r>
          </w:p>
          <w:p w14:paraId="730BC75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5EAB31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jāizvērtē efektīvākos pasīvās apsildes risinājumus un jāparedz realizācijai virsmas divus tiem. Jāņem vērā ēkas novietojums, dabiskais reljefs, esošo būvju un objektu radītais noēnojums.</w:t>
            </w:r>
          </w:p>
          <w:p w14:paraId="37E6320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51A363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jāizvērtē efektīvākos dabiskās jeb pasīvās vēdināšanas risinājumus un jāparedz tos projektā. Pasīvās ventilācijas risinājumi pēc vajadzības jākombinē ar mehānisko un piespiedu ventilāciju.</w:t>
            </w:r>
          </w:p>
          <w:p w14:paraId="299EEFF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168A69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Neizpilda pārbūves projektiem, ja pasūtītājs tehniskajā specifikācijā nav paredzējis prasību piemērot kritēriju.</w:t>
            </w:r>
          </w:p>
          <w:p w14:paraId="36CC53E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7BBF60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60DB137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F874FD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Projektētājs specificē izmantojamo materiālu un / vai būves elementu, tā atkārtoti izmantotās komponentes apjomu. </w:t>
            </w:r>
          </w:p>
          <w:p w14:paraId="150DE19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09511F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Būvuzņēmējs apliecina atkārtoti izmantotā vai viegli pārstrādājama materiāla izmantošanu, iesniedzot produkta vides deklarāciju (saskaņā ar standartu EN ISO 14025:2010 Vides marķējumi un deklarācijas. Trešā tipa vides deklarācijas. Principi un procedūras (ISO 14025:2006) )</w:t>
            </w:r>
          </w:p>
          <w:p w14:paraId="01DEE09D"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7BA800B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73125E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0E74D205"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38807A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49976F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3DD93EA8"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2A9D4D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38564F4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622D6D6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CBE5B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Būvdarbu vadītājam ir pieredze norādītajās jomās, par kuru tas atbilstoši līgumam būs atbildīgs (izvēlēties attiecīgo konkrētam līgumam):</w:t>
            </w:r>
          </w:p>
          <w:p w14:paraId="40392FC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CEB580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būvdarbos jaunbūvju un/vai ēku atjaunošanas projektos (atzīmēt atbilstošo), tostarp dati (ja pieejami) par pabeigtu projektu izmērīto energopatēriņu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1B9E251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D00F37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(BEMS) vai ekvivalentu sistēmu uzstādīšanā, ēkas apsaimniekotāju informēšanā par to, kā tās izmantot;</w:t>
            </w:r>
          </w:p>
          <w:p w14:paraId="4889D4F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ABC817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pieredze ūdens patēriņa ziņā efektīvu sistēmu uzstādīšanā, tostarp dati (ja pieejami) par pabeigtu projektu izmērīto ūdens patēriņu uz darbinieku;</w:t>
            </w:r>
          </w:p>
          <w:p w14:paraId="5CBF9BB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DC6252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pieredze nojaukšanas un būvlaukuma atkritumu apsaimniekošanas plānu sekmīgā īstenošanā, maksimāli samazinot atkritumu apjomu, t.sk. arīzināšanas un pieredze nodrošinot atkritumu apstrādes iespējas ārpus būvlaukuma.</w:t>
            </w:r>
          </w:p>
          <w:p w14:paraId="758D442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77C825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Attiecināmo prasību precizē, atkarībā no ēkas funkcijas/-ām un funkcionalitātes ēkā.</w:t>
            </w:r>
          </w:p>
          <w:p w14:paraId="0EA0BB9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74958F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Pierādījumi: 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63E7A02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7F8B60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2B6B7ED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5EE9BBB"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33F71025"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245982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2EC252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485A407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967829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2309127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E169A5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342B515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7CDC8C16"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725674B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833218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4C98FEF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247A574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472D07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Visiem kokmateriāliem vai koka izstrādājumiem, kas paredzēti iebūvei ēkā vai labiekārtojumos, jābūt iegūtiem no ilgtspējīgi apsaimniekotiem mežiem.</w:t>
            </w:r>
          </w:p>
          <w:p w14:paraId="43B4AD1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560295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Kritērijs attiecas uz iebūvējamo kokmateriālu un koksnes produktiem. Neattiecas uz </w:t>
            </w:r>
            <w:r w:rsidRPr="00F90660">
              <w:rPr>
                <w:rFonts w:ascii="Times New Roman" w:eastAsia="SimSun" w:hAnsi="Times New Roman" w:cs="Times New Roman"/>
                <w:i/>
                <w:iCs/>
                <w:sz w:val="24"/>
                <w:szCs w:val="24"/>
              </w:rPr>
              <w:t>tehnisko koksni</w:t>
            </w:r>
            <w:r w:rsidRPr="00F90660">
              <w:rPr>
                <w:rFonts w:ascii="Times New Roman" w:eastAsia="SimSun" w:hAnsi="Times New Roman" w:cs="Times New Roman"/>
                <w:sz w:val="24"/>
                <w:szCs w:val="24"/>
              </w:rPr>
              <w:t xml:space="preserve"> – materiāls izmantots pagaidu konstrukcijās, tai skaitā, piemēram, veidņiem, drošības nožogojumam, barjerām būvniecības laikā u.tml.  </w:t>
            </w:r>
          </w:p>
          <w:p w14:paraId="551F938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76A709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096F0C1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42F3B5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2303B3C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01382F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67955DF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8425A5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491A43C"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457C8AD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9C7EE3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60B73B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0062764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C5FD92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FSC vai PFSC sertifikāts kokmteriāliem un / vai koka izstrādājumiem vai līdzvērtīgs notificētas iestādes apliecinājums par kokmateriālu un koksnes produktu atbilstību Eiropas Parlamenta un Padomes Regulas (ES) Nr. 995/2010 ( 2010. gada 20. oktobris ), ar ko nosaka pienākumus tirgus dalībniekiem, kas laiž tirgū kokmateriālus un koka izstrādājumus prasībām.</w:t>
            </w:r>
          </w:p>
          <w:p w14:paraId="641BA8A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42303D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1E560BE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614098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29BEE4C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B5C550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4035DA9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D1064F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C22 Izbūves un apdares materiālu ietekme uz iekštelpu gaisa kvalitāti</w:t>
            </w:r>
          </w:p>
          <w:p w14:paraId="28FD5C5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ACBAFD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nedēļas pēc apdares darbu pabeigšanas būvuzņēmējs veic mērījumus telpās atbilstoši EN ISO 16000-6 un 16000-3, lai konstatētu kopējo gaistošo organisko savienojumu un formaldehīdu saturu iekštelpu gaisā.</w:t>
            </w:r>
          </w:p>
          <w:p w14:paraId="1325ED8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uzmērīto gaistošo organisko savienojumu un formaldehīdu saturs iekštelpu gaisā pārsniedz B11 kritērijam izvirzītās prasības, ZPI prasības nav izpildītas un ēka neatbilst ZPI nosacījumiem.</w:t>
            </w:r>
          </w:p>
          <w:p w14:paraId="31170C4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C3E88E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661818CE"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55E6A16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BCA198D" w14:textId="77777777" w:rsidR="00F90660" w:rsidRPr="00F90660" w:rsidRDefault="00F90660" w:rsidP="00F90660">
      <w:pPr>
        <w:spacing w:after="120" w:line="264" w:lineRule="auto"/>
        <w:jc w:val="both"/>
        <w:rPr>
          <w:rFonts w:ascii="Times New Roman" w:eastAsia="SimSun" w:hAnsi="Times New Roman" w:cs="Times New Roman"/>
          <w:b/>
          <w:bCs/>
          <w:sz w:val="24"/>
          <w:szCs w:val="24"/>
        </w:rPr>
      </w:pPr>
      <w:r w:rsidRPr="00F90660">
        <w:rPr>
          <w:rFonts w:ascii="Times New Roman" w:eastAsia="SimSun" w:hAnsi="Times New Roman" w:cs="Times New Roman"/>
          <w:b/>
          <w:bCs/>
          <w:sz w:val="24"/>
          <w:szCs w:val="24"/>
        </w:rPr>
        <w:t>8.3. Sabiedriskās ēdināšanas ēkas (12110103) un skatītāju zāles (12610102) jaunas būvniecības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4A4E878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342EDB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19A782B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26B9BC2A"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1B18F0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3C98CC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Sabiedriskās ēdināšanas ēkas un / vai skatītāju zāles jauna būvniecība vai projektēšanas un būvniecības pakalpojumi</w:t>
            </w:r>
          </w:p>
          <w:p w14:paraId="7629E0A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F9CD31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7E5A100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0251EF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Sabiedriskās ēdināšanas ēkas un / vai skatītāju zāles pārbūve vai projektēšanas un pārbūves pakalpojumi </w:t>
            </w:r>
          </w:p>
          <w:p w14:paraId="0B2144C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658E48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6B44058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B94065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Sabiedriskās ēdināšanas ēkas un / vai skatītāju zāles projektēšana</w:t>
            </w:r>
          </w:p>
          <w:p w14:paraId="68C5428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2970578"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3E745C9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 ZPI prasības un kritēriji projektēšanas sagatavošanai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62BC2187"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110013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E0A787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35DD2614"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65F300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CC168C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52DDB95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F1D169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Atkarībā no ēkas lietošanas mērķa(-iem) un funkcijas(-ām), pasūtītājs izvirza tikai pirmo, vai arī vairākas no zemāk minētajām prasībām attiecībā uz būvprojekta izstrādātāju pieredzi:</w:t>
            </w:r>
          </w:p>
          <w:p w14:paraId="39F8E86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CF8F58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projektēšanā jaunbūvju un/vai ēku pārbūves projektos (atbilstoši iepirkuma specifikai), tostarp dati par pabeigtu projektu izmērīto energoefektivitāti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15EF759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E7FC56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uzstādīšanā, ēkas apsaimniekotāju informēšanā par to ekspluatāciju un izmantošanu, lai konstatētu, kāds ir ēkas energopatēriņa modelis;</w:t>
            </w:r>
          </w:p>
          <w:p w14:paraId="26C4D13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79A174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3) pieredze ūdens patēriņa ziņā efektīvu ietaišu projektēšanā, tostarp dati par pabeigtu projektu izmērīto ūdens patēriņu uz lietotāju.</w:t>
            </w:r>
          </w:p>
          <w:p w14:paraId="1D7C97E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FDD265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721540E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3468DC6E"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000A970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14F844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5C18E0DE"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5292C19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319492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5F8F55C8"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177943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237DED9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31101A5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1CE36D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jaunas būvniecības iepirkumiem būves kopējās primārās enerģijas patēriņa novērtējums kWh/m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gadā atbilst A+ klasei un primārās neatjaunojamās enerģijas patēriņa novērtējums nepārsniedz 60 %. </w:t>
            </w:r>
          </w:p>
          <w:p w14:paraId="6F1AD6C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3ADA59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pārbūves darbu iepirkumā būves kopējo primāro enerģijas patēriņa novērtējumu var noteikt A klases līmenī, tai skaitā primārās neatjaunojamās enerģijas patēriņa novērtējums ir lielāks par 60%.</w:t>
            </w:r>
          </w:p>
          <w:p w14:paraId="67B69F3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408046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B5 Velosipēdu un mikromobilitātes transporta līdzekļu novietne</w:t>
            </w:r>
          </w:p>
          <w:p w14:paraId="229EFA4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7F45B7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0465F71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6C507C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pasūtītājs ir paredzējis uzlādes punktu ierīkošanu ar elektrību darbināmajiem mikromobilitātes transporta līdzekļiem, pretendentam ir  jāizvērtē optimālākais risinājums un jānosaka nepieciešamo uzlādes punktu skaits, ņemot vērā plānoto pieprasījuma dinamiku.</w:t>
            </w:r>
          </w:p>
          <w:p w14:paraId="5FC8D9C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7586C4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563DF13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15B077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 vai tai piegulošajā teritorijā paredz iesegtu, apjumtu un apgaismotu atrkritumu glabātavu, lai ēkas lietotājiem nodrošinātu pārstrādājamu materiālu šķirošanu.</w:t>
            </w:r>
          </w:p>
          <w:p w14:paraId="3C3A6D8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8895D5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Pieņēmumi, kas ir pamatā prognozēm par vajadzīgo vietu, ir balstīti metodoloģijā, kas noteikta Ministru kabineta 2017. gada 13. jūnija noteikumos Nr. 328 “Kritēriji un kārtība, kādā novērtē atkritumu dalītās savākšanas pakalpojuma pieejamību iedzīvotājiem”, Ministru kabineta 2016. gada 13. decembra noteikumos Nr. 788 “Noteikumi par atkritumu savākšanas un šķirošanas vietām”,  kā arī attiecīgās pašvaldības saistošajos noteikumos un labās prakses piemēros.</w:t>
            </w:r>
          </w:p>
          <w:p w14:paraId="38CF99E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F4FA94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B7 Ūdens taupīšanas ietaises</w:t>
            </w:r>
          </w:p>
          <w:p w14:paraId="7E1CEBE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6927C6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Visas sanitārās un virtuves ūdens ietaises ir aprīkotas ar efektīvu ūdensapgādes aprīkojumu, kas atbilst šo noteikumu 2. pielikuma 6. un 11. punktā noteiktajiem  kritērijiem par sanitārtehnisko aprīkojumu un klozetpodiem un pisuāriem ar noskalošanas funkciju un sanitārtehniskajai armatūrai.  </w:t>
            </w:r>
          </w:p>
          <w:p w14:paraId="2CBAFE3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CB66CE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1D7D92B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5736A4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Vietās, kur āra gaisa kvalitāte ir zemaāka par ODA 1 kategoriju, izmantojot vismaz 2 pēdējo gadu gaisa kvalitātes monitoringa datus par gaisā suspendēto cieto daļiņu koncentrāciju (PM</w:t>
            </w:r>
            <w:r w:rsidRPr="00F90660">
              <w:rPr>
                <w:rFonts w:ascii="Times New Roman" w:eastAsia="SimSun" w:hAnsi="Times New Roman" w:cs="Times New Roman"/>
                <w:sz w:val="24"/>
                <w:szCs w:val="24"/>
                <w:vertAlign w:val="subscript"/>
              </w:rPr>
              <w:t>2.5</w:t>
            </w:r>
            <w:r w:rsidRPr="00F90660">
              <w:rPr>
                <w:rFonts w:ascii="Times New Roman" w:eastAsia="SimSun" w:hAnsi="Times New Roman" w:cs="Times New Roman"/>
                <w:sz w:val="24"/>
                <w:szCs w:val="24"/>
              </w:rPr>
              <w:t xml:space="preserve"> un PM</w:t>
            </w:r>
            <w:r w:rsidRPr="00F90660">
              <w:rPr>
                <w:rFonts w:ascii="Times New Roman" w:eastAsia="SimSun" w:hAnsi="Times New Roman" w:cs="Times New Roman"/>
                <w:sz w:val="24"/>
                <w:szCs w:val="24"/>
                <w:vertAlign w:val="subscript"/>
              </w:rPr>
              <w:t>10</w:t>
            </w:r>
            <w:r w:rsidRPr="00F90660">
              <w:rPr>
                <w:rFonts w:ascii="Times New Roman" w:eastAsia="SimSun" w:hAnsi="Times New Roman" w:cs="Times New Roman"/>
                <w:sz w:val="24"/>
                <w:szCs w:val="24"/>
              </w:rPr>
              <w:t xml:space="preserve">) no objektam tuvākās gaisa kvalitātes monitoringa stacijas, pasūtītājs </w:t>
            </w:r>
            <w:r w:rsidRPr="00F90660">
              <w:rPr>
                <w:rFonts w:ascii="Times New Roman" w:eastAsia="SimSun" w:hAnsi="Times New Roman" w:cs="Times New Roman"/>
                <w:sz w:val="24"/>
                <w:szCs w:val="24"/>
              </w:rPr>
              <w:lastRenderedPageBreak/>
              <w:t>norāda ODA kategoriju āra gaisam, atbilstoši harmonizētajā standartā LVS EN 16798-3:2018/NA:2020 „Ēku energoefektivitāte. Ēku ventilācija. 3. daļa: Nedzīvojamās ēkas. Veiktspējas prasības ventilācijas un telpu kondicionēšanas sistēmām (M5-1 un M5-4 moduļi). Nacionālais pielikums” dotajai metodoloģijai.</w:t>
            </w:r>
          </w:p>
          <w:p w14:paraId="67C0E4C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E16A9E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Projektēšanas uzdevumā pasūtītājs norāda telpā piegādājamā gaisa kvalitātes kategoriju SUP telpu grupām, atbilstoši to funkcijām, saskaņā ar minētajā standartā noteikto principu. Ja telpām nav īpašas prasības, SUP kategoriju ieteicams izvēlēties atbilstoši Eurovent, 2017 rekomendācijām 4/23.</w:t>
            </w:r>
          </w:p>
          <w:p w14:paraId="7680A81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0BD0B1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B11 Izbūves un apdares materiālu izvēle</w:t>
            </w:r>
          </w:p>
          <w:p w14:paraId="2F5E522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081BCB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 ēkas izbūvei un apdarei izvēlētie materiāli atbilst zemāk norādītajiem emisiju limitiem. Šī prasība attiecas uz:</w:t>
            </w:r>
          </w:p>
          <w:p w14:paraId="1C31949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51D619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griestu plātnēm;</w:t>
            </w:r>
          </w:p>
          <w:p w14:paraId="433561F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krāsām un lakām;</w:t>
            </w:r>
          </w:p>
          <w:p w14:paraId="71FC8D4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grīdas un sienu tekstilsegumiem;</w:t>
            </w:r>
          </w:p>
          <w:p w14:paraId="00C4FEB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laminātu un elastīgo grīdas segumu;</w:t>
            </w:r>
          </w:p>
          <w:p w14:paraId="206C7A3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5) koka un kompozītmateriāla grīdas segumu.</w:t>
            </w:r>
          </w:p>
          <w:p w14:paraId="7C9856C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B45353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Materiālu un apdares materiālu emisiju limiti (μg/m</w:t>
            </w:r>
            <w:r w:rsidRPr="00F90660">
              <w:rPr>
                <w:rFonts w:ascii="Times New Roman" w:eastAsia="SimSun" w:hAnsi="Times New Roman" w:cs="Times New Roman"/>
                <w:sz w:val="24"/>
                <w:szCs w:val="24"/>
                <w:vertAlign w:val="superscript"/>
              </w:rPr>
              <w:t>3</w:t>
            </w:r>
            <w:r w:rsidRPr="00F90660">
              <w:rPr>
                <w:rFonts w:ascii="Times New Roman" w:eastAsia="SimSun" w:hAnsi="Times New Roman" w:cs="Times New Roman"/>
                <w:sz w:val="24"/>
                <w:szCs w:val="24"/>
              </w:rPr>
              <w:t>).</w:t>
            </w:r>
          </w:p>
          <w:p w14:paraId="2917746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D9127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I. Kopējie gaistošie organiskie savienojumi </w:t>
            </w:r>
          </w:p>
          <w:p w14:paraId="39A56B6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&lt; 300 μg/m</w:t>
            </w:r>
            <w:r w:rsidRPr="00F90660">
              <w:rPr>
                <w:rFonts w:ascii="Times New Roman" w:eastAsia="SimSun" w:hAnsi="Times New Roman" w:cs="Times New Roman"/>
                <w:sz w:val="24"/>
                <w:szCs w:val="24"/>
                <w:vertAlign w:val="superscript"/>
              </w:rPr>
              <w:t>3</w:t>
            </w:r>
            <w:r w:rsidRPr="00F90660">
              <w:rPr>
                <w:rFonts w:ascii="Times New Roman" w:eastAsia="SimSun" w:hAnsi="Times New Roman" w:cs="Times New Roman"/>
                <w:sz w:val="24"/>
                <w:szCs w:val="24"/>
              </w:rPr>
              <w:t xml:space="preserve"> 28 dienas pēc iebūves / ieklāšanas</w:t>
            </w:r>
          </w:p>
          <w:p w14:paraId="1A15BC3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EE2382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II. Formaldehīds</w:t>
            </w:r>
          </w:p>
          <w:p w14:paraId="57906C5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-&lt; 30 μg/m</w:t>
            </w:r>
            <w:r w:rsidRPr="00F90660">
              <w:rPr>
                <w:rFonts w:ascii="Times New Roman" w:eastAsia="SimSun" w:hAnsi="Times New Roman" w:cs="Times New Roman"/>
                <w:sz w:val="24"/>
                <w:szCs w:val="24"/>
                <w:vertAlign w:val="superscript"/>
              </w:rPr>
              <w:t>3</w:t>
            </w:r>
          </w:p>
          <w:p w14:paraId="5A99D08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9E0987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B20 Pasīvie iekštelpu klimata regulēšanas risinājumi</w:t>
            </w:r>
          </w:p>
          <w:p w14:paraId="1846D30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01A37F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Projektā ir jāņem vērā, jāizvērtē un jāparedz sekojoši aspekti, kas uzlabo komfortu ēkas iekštelpās, samazinot mehānisko sistēmu pielietojumu un attiecīgi samazinot ēkas ekspluatācijas izmaksas:</w:t>
            </w:r>
          </w:p>
          <w:p w14:paraId="38E1CDB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99D5D9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1. Pasīvā dzesēšana: </w:t>
            </w:r>
          </w:p>
          <w:p w14:paraId="351D271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1.1. Termiskā masa</w:t>
            </w:r>
          </w:p>
          <w:p w14:paraId="3A71ECD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1.2. Iztvaikošanas dzesēšana</w:t>
            </w:r>
          </w:p>
          <w:p w14:paraId="3F977FC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1.3. Cits pasīvās dzesēšanas risinājums</w:t>
            </w:r>
          </w:p>
          <w:p w14:paraId="320E757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FBD7DE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Pasīvā sildīšana</w:t>
            </w:r>
          </w:p>
          <w:p w14:paraId="53948DD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2.1. Saules enerģijas izmantošana</w:t>
            </w:r>
          </w:p>
          <w:p w14:paraId="0512597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2.2. Termiskā masa</w:t>
            </w:r>
          </w:p>
          <w:p w14:paraId="2BFF9E8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8704DA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3. Pasīvā vēdināšana (dabiskā ventilācija): </w:t>
            </w:r>
          </w:p>
          <w:p w14:paraId="576089A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3.1. Šķērsventilācija jeb vēja izraisīta ventilācija </w:t>
            </w:r>
          </w:p>
          <w:p w14:paraId="2D8E11D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3.2. Skursteņa efekta jeb plūsmas, enerģijas vadīta ventilācija</w:t>
            </w:r>
          </w:p>
          <w:p w14:paraId="3E4FC2E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4F497D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Pasīvā dzesēšana, apsildes un vēdināšanas risinājumu ietekme ir jāņem vērā AVK projektā.</w:t>
            </w:r>
          </w:p>
          <w:p w14:paraId="06720C5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0503B6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Pārbūves projektiem kritēriju var nepiemērot, ja pastāv objektīvi ierobežojumi paredzēt pasīvos iekštelpu klimata regulēšanas risinājumus.</w:t>
            </w:r>
          </w:p>
          <w:p w14:paraId="0103911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0E1314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5A2C9DE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CB1965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Būvniecībā paredzēti un izmantoti atgūtie materiāli vai komponentes.</w:t>
            </w:r>
          </w:p>
          <w:p w14:paraId="43E171C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AD6C7F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 xml:space="preserve">Pasūtītājs nosaka konkrētu materiālu(-s) un / vai būves elementu(-s), kura(-u) sastāvā jāparedz atkārtoti izmantots(-i) un / vai viegli pārstrādājams(-i) materiāls(-i) vai komponente(-s). </w:t>
            </w:r>
          </w:p>
          <w:p w14:paraId="5CC2456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3EDE8E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var noteikt prasības attiecībā uz minēto elementu un / vai komponenšu īpatsvaru būvē vai konstrukcijā. </w:t>
            </w:r>
          </w:p>
          <w:p w14:paraId="790D716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C4B48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Prasību var attiecināt uz jebkuru komponenti vai konstrukciju. Piemēram: </w:t>
            </w:r>
          </w:p>
          <w:p w14:paraId="7C4E110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9F03B0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nesošajās konstrukcijās</w:t>
            </w:r>
          </w:p>
          <w:p w14:paraId="701503D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ārējās norobežojošās konstrukcijas vai to elementi</w:t>
            </w:r>
          </w:p>
          <w:p w14:paraId="7141EEF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grīdas segumi</w:t>
            </w:r>
          </w:p>
          <w:p w14:paraId="0979E7E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apdares materiāli</w:t>
            </w:r>
          </w:p>
          <w:p w14:paraId="24C359B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sienu un / vai griestu paneļi</w:t>
            </w:r>
          </w:p>
          <w:p w14:paraId="7555D3E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u.tml. </w:t>
            </w:r>
          </w:p>
          <w:p w14:paraId="78AEA8D1"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3E5F60E2"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8DABD3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A9A900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3693046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11BAF7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5E26505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EE55F6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408A53B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15BAE7E8"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077CF782"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C14A16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E7FF9E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3EA3E45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07AF4E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Tehniskā projekta izstrādes posmā pasūtītājs vai pasūtītāja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781331D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6AF33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Pēc būvdarbu vai pārbūves darbu pabeigšanas pasūtītājs uzdod ēkas apsaimniekotājam veikt pastāvīgu enerģijas patēriņa monitoringu un 3 (trīs) gadus pēc būvdarbu pabeigšanas un ekspluatācijas uzsākšanas pasūtīt ēkas energosertificēšanu.</w:t>
            </w:r>
          </w:p>
          <w:p w14:paraId="0901928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C5ED6B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7D60725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80E519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jāsagatavo ēkas un / vai teritorijas plānus, kuros ir norādīta vieta vai vietas atkritumu šķirošanai un savākšanai, kā arī pieņēmumi, kas ir pamatā prognozēm par vajadzīgo vietu un infrastruktūru.</w:t>
            </w:r>
          </w:p>
          <w:p w14:paraId="585DB2E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DA50AA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B7 Ūdens taupīšanas ietaises</w:t>
            </w:r>
          </w:p>
          <w:p w14:paraId="5F9788F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36EE1D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Atbilstību apliecina produktu datu lapas, kurās norādītie ūdens patēriņa parametri un darbības specifikācija atbilst tehniskajā specifikācijā minētajām prasībām.  </w:t>
            </w:r>
          </w:p>
          <w:p w14:paraId="5FDBF5E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476CE6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2CDA2E6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933C49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Projektētāja atbildība ir izvēlēties piemērotas kategorijas filtrus ventilācijas iekārtās, lai nodrošinātu pasūtītāja definēto pieplūdes gaisa  SUP kategoriju pie attiecīgās atrašanās vietas āra gaisa ODA kategorijas.</w:t>
            </w:r>
          </w:p>
          <w:p w14:paraId="620AC40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20E35B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Pasūtītājs nosaka, ka ēkas apsaimniekotāja pienākums ir nodrošināt regulāras ventilācijas sistēmas apkopes (tai skaitā filtru nomaiņu), lai telpās nodrošinātu attiecīgo gaisa kvalitāti.</w:t>
            </w:r>
          </w:p>
          <w:p w14:paraId="062EFDF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3D2338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B11 Izbūves un apdares materiālu izvēle</w:t>
            </w:r>
          </w:p>
          <w:p w14:paraId="420F24A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9FEAC8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Projektētājam jādefinē izbūves un apdares materiāli, kas nodrošinās atbilstību tehniskajā specifikācijā šim kritērijam noteiktajām maksimāli pieļaujamajām gaistošo organisko savienojumu un formaldehīda satura normām. Tāpat būs jānodrošina produkta vides deklarācijas (PVD) saskaņā ar harmonizēto standartu LVS ISO 21930 “Ēku un inženierbūvju ilgtspējība. Pamatnoteikumi būvizstrādājumu un būvniecības pakalpojumu vides deklarācijām” visiem izvēlētajiem izbūves un apdares materiāliem, kas atradīsies tiešā saskarē ar telpas lietotājiem, tai skaitā: </w:t>
            </w:r>
          </w:p>
          <w:p w14:paraId="1A2DB34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643646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griestu plātnēm;</w:t>
            </w:r>
          </w:p>
          <w:p w14:paraId="4270042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krāsām un lakām;</w:t>
            </w:r>
          </w:p>
          <w:p w14:paraId="5E5B6D1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grīdas un sienu tekstilsegumiem;</w:t>
            </w:r>
          </w:p>
          <w:p w14:paraId="7474AB9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laminātu un elastīgo grīdas segumiem;</w:t>
            </w:r>
          </w:p>
          <w:p w14:paraId="3AE7044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5) koka un kompozītmateriāla grīdas segumiem.</w:t>
            </w:r>
          </w:p>
          <w:p w14:paraId="4B9C554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780B98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B20 Pasīvie iekštelpu klimata regulēšanas risinājumi</w:t>
            </w:r>
          </w:p>
          <w:p w14:paraId="305A01A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7FE317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Pretendentam jāizvērtē efektīvākie pasīvās dzesēšanas risinājumi un jāparedz virsmas vienu no dabiskās ventilācijas veidiem. </w:t>
            </w:r>
          </w:p>
          <w:p w14:paraId="3DBBAAB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391398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jāizvērtē efektīvākos pasīvās apsildes risinājumus un jāparedz realizācijai virsmas divus tiem. Jāņem vērā ēkas novietojums, dabiskais reljefs, esošo būvju un objektu radītais noēnojums.</w:t>
            </w:r>
          </w:p>
          <w:p w14:paraId="55598E7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Pretendentam jāizvērtē efektīvākos dabiskās jeb pasīvās vēdināšanas risinājumus un jāparedz tos projektā. Pasīvās ventilācijas risinājumi pēc vajadzības jākombinē ar mehānisko un piespiedu ventilāciju.</w:t>
            </w:r>
          </w:p>
          <w:p w14:paraId="67BC616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Neizpilda pārbūves projektiem, ja pasūtītājs tehniskajā specifikācijā nav paredzējis prasību piemērot kritēriju.</w:t>
            </w:r>
          </w:p>
          <w:p w14:paraId="40F24A6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A1DD11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54EA967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69A9DB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Projektētājs specificē izmantojamo materiālu un / vai būves elementu, tā atkārtoti izmantotās komponentes apjomu. </w:t>
            </w:r>
          </w:p>
          <w:p w14:paraId="34A1F49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431F12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Būvuzņēmējs apliecina atkārtoti izmantotā vai viegli pārstrādājama materiāla izmantošanu, iesniedzot produkta vides deklarāciju (saskaņā ar standartu EN ISO 14025:2010 Vides marķējumi un deklarācijas. Trešā tipa vides deklarācijas. Principi un procedūras (ISO 14025:2006) )</w:t>
            </w:r>
          </w:p>
          <w:p w14:paraId="4AFDD90F"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602FEEA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9E3278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14710D02"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0A703BF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EBA198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1A10AAD5"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00CC07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440A50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0F077A1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CE3DD4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Būvdarbu vadītājam ir pieredze norādītajās jomās, par kuru tas atbilstoši līgumam būs atbildīgs (izvēlēties attiecīgo konkrētam līgumam):</w:t>
            </w:r>
          </w:p>
          <w:p w14:paraId="3CAD08F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53CF41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būvdarbos jaunbūvju un/vai ēku atjaunošanas projektos (atzīmēt atbilstošo), tostarp dati (ja pieejami) par pabeigtu projektu izmērīto energopatēriņu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1E6C2D4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712F03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(BEMS) vai ekvivalentu sistēmu uzstādīšanā, ēkas apsaimniekotāju informēšanā par to, kā tās izmantot;</w:t>
            </w:r>
          </w:p>
          <w:p w14:paraId="6C96308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8D01D2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pieredze ūdens patēriņa ziņā efektīvu sistēmu uzstādīšanā, tostarp dati (ja pieejami) par pabeigtu projektu izmērīto ūdens patēriņu uz darbinieku;</w:t>
            </w:r>
          </w:p>
          <w:p w14:paraId="42FC56D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59C238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pieredze nojaukšanas un būvlaukuma atkritumu apsaimniekošanas plānu sekmīgā īstenošanā, maksimāli samazinot atkritumu apjomu, t.sk. arīzināšanas un pieredze nodrošinot atkritumu apstrādes iespējas ārpus būvlaukuma.</w:t>
            </w:r>
          </w:p>
          <w:p w14:paraId="320B354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307B2B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Attiecināmo prasību precizē, atkarībā no ēkas funkcijas/-ām un funkcionalitātes ēkā.</w:t>
            </w:r>
          </w:p>
          <w:p w14:paraId="0960131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5C90F8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Pierādījumi: 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4D65946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CFAC52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4B6B2B0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95FC4E0"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7C76885E"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0C765E9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3418471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226CDF1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5B7D1C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37F8416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9F29C8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7B6CE8F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Informācija un atsauksmes, par attiecīgiem līgumiem iepriekšējo 5 gadu laikā, kas ietvēruši pasūtītāja norādīto darbu īstenošanu un datus par rezultātu mērījumiem. Piegādātājs pievieno to speciālistu </w:t>
            </w:r>
            <w:r w:rsidRPr="00F90660">
              <w:rPr>
                <w:rFonts w:ascii="Times New Roman" w:eastAsia="SimSun" w:hAnsi="Times New Roman" w:cs="Times New Roman"/>
                <w:sz w:val="24"/>
                <w:szCs w:val="24"/>
              </w:rPr>
              <w:lastRenderedPageBreak/>
              <w:t>CV, kuri strādās pie projekta, kā arī apliecinājumu, ka speciālists veicis profesionālu pilnveidošanos attiecīgajās jomās.</w:t>
            </w:r>
          </w:p>
          <w:p w14:paraId="1C3370AE"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706A5235"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6A5A711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2AB14B6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6EA6BCA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D9F634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Visiem kokmateriāliem vai koka izstrādājumiem, kas paredzēti iebūvei ēkā vai labiekārtojumos, jābūt iegūtiem no ilgtspējīgi apsaimniekotiem mežiem.</w:t>
            </w:r>
          </w:p>
          <w:p w14:paraId="36AF645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1A9527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Kritērijs attiecas uz iebūvējamo kokmateriālu un koksnes produktiem. Neattiecas uz </w:t>
            </w:r>
            <w:r w:rsidRPr="00F90660">
              <w:rPr>
                <w:rFonts w:ascii="Times New Roman" w:eastAsia="SimSun" w:hAnsi="Times New Roman" w:cs="Times New Roman"/>
                <w:i/>
                <w:iCs/>
                <w:sz w:val="24"/>
                <w:szCs w:val="24"/>
              </w:rPr>
              <w:t>tehnisko koksni</w:t>
            </w:r>
            <w:r w:rsidRPr="00F90660">
              <w:rPr>
                <w:rFonts w:ascii="Times New Roman" w:eastAsia="SimSun" w:hAnsi="Times New Roman" w:cs="Times New Roman"/>
                <w:sz w:val="24"/>
                <w:szCs w:val="24"/>
              </w:rPr>
              <w:t xml:space="preserve"> – materiāls izmantots pagaidu konstrukcijās, tai skaitā, piemēram, veidņiem, drošības nožogojumam, barjerām būvniecības laikā u.tml.  </w:t>
            </w:r>
          </w:p>
          <w:p w14:paraId="57CE936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AF991E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435F857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290F13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4D81A40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17EF92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7F29787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4FEDCD2"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6C07ACD8"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9E0A71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A766C6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2C2A7A5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4A47FC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FSC vai PFSC sertifikāts kokmateriāliem un / vai koka izstrādājumiem vai līdzvērtīgs notificētas iestādes apliecinājums par kokmateriālu un koksnes produktu atbilstību Eiropas Parlamenta un Padomes Regulas (ES) Nr. 995/2010 ( 2010. gada 20. oktobris ), ar ko nosaka pienākumus tirgus dalībniekiem, kas laiž tirgū kokmateriālus un koka izstrādājumus prasībām.</w:t>
            </w:r>
          </w:p>
          <w:p w14:paraId="65C6A7C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120011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13D5DFB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EF4309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48F90B2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52D285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0071574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72E88E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C22 Izbūves un apdares materiālu ietekme uz iekštelpu gaisa kvalitāti</w:t>
            </w:r>
          </w:p>
          <w:p w14:paraId="6F45CEC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41B29C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nedēļas pēc apdares darbu pabeigšanas būvuzņēmējs veic mērījumus telpās atbilstoši EN ISO 16000-6 un 16000-3, lai konstatētu kopējo gaistošo organisko savienojumu un formaldehīdu saturu iekštelpu gaisā.</w:t>
            </w:r>
          </w:p>
          <w:p w14:paraId="011ED2C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uzmērīto gaistošo organisko savienojumu un formaldehīdu saturs iekštelpu gaisā pārsniedz B11 kritērijam izvirzītās prasības, ZPI prasības nav izpildītas un ēka neatbilst ZPI nosacījumiem.</w:t>
            </w:r>
          </w:p>
          <w:p w14:paraId="1688A5B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4AF2C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3D511E64"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7D7EB9C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1A9E2E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D73A3F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86737D2" w14:textId="77777777" w:rsidR="00F90660" w:rsidRPr="00F90660" w:rsidRDefault="00F90660" w:rsidP="00F90660">
      <w:pPr>
        <w:spacing w:after="120" w:line="264" w:lineRule="auto"/>
        <w:jc w:val="both"/>
        <w:rPr>
          <w:rFonts w:ascii="Times New Roman" w:eastAsia="SimSun" w:hAnsi="Times New Roman" w:cs="Times New Roman"/>
          <w:b/>
          <w:bCs/>
          <w:sz w:val="24"/>
          <w:szCs w:val="24"/>
        </w:rPr>
      </w:pPr>
      <w:r w:rsidRPr="00F90660">
        <w:rPr>
          <w:rFonts w:ascii="Times New Roman" w:eastAsia="SimSun" w:hAnsi="Times New Roman" w:cs="Times New Roman"/>
          <w:b/>
          <w:bCs/>
          <w:sz w:val="24"/>
          <w:szCs w:val="24"/>
        </w:rPr>
        <w:t>8.4. Lauksaimniecības ēkas (127101) un noliktavu ēkas (1252) jaunas būvniecības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76A529EA"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AD52B8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EF4F69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68AA8997"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945EA2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4A347C4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Lauksaimniecības ēkas un / vai noliktavu ēkas jauna būvniecība vai projektēšanas un būvniecības pakalpojumi</w:t>
            </w:r>
          </w:p>
          <w:p w14:paraId="5A8FE29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CF59DC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55B338C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79627C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Lauksaimniecības ēkas un / vai noliktavu ēkas pārbūve vai projektēšanas un pārbūves pakalpojumi</w:t>
            </w:r>
          </w:p>
          <w:p w14:paraId="3681A07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5F5C98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614100C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5C7D01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Lauksaimniecības ēkas un / vai noliktavu ēkas projektēšana</w:t>
            </w:r>
          </w:p>
          <w:p w14:paraId="2D8727F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5145917"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716D559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78BB9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 ZPI prasības un kritēriji projektēšanas sagatavošanai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1A68688C"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54C0C1D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1D9C50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02C7D3EF"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27F95E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3A5D37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6BAE90A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2F09D1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Atkarībā no ēkas lietošanas mērķa(-iem) un funkcijas(-ām), pasūtītājs izvirza attiecināmo(-ās) prasību(-as) attiecībā uz būvprojekta izstrādātāju pieredzi:</w:t>
            </w:r>
          </w:p>
          <w:p w14:paraId="03C6E18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FC5F88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projektēšanā jaunbūvju un/vai ēku pārbūves projektos (atbilstoši iepirkuma specifikai), tostarp dati par pabeigtu projektu izmērīto energoefektivitāti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68DBB3F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F933C9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uzstādīšanā, ēkas apsaimniekotāju informēšanā par to ekspluatāciju un izmantošanu, lai konstatētu, kāds ir ēkas energopatēriņa modelis;</w:t>
            </w:r>
          </w:p>
          <w:p w14:paraId="5E87E8A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EF56EA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48A25BD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17AA7E9C"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471A203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0528DC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16448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4F566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5B21D6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D1E176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B.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1EFB8D31"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0674023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B84C16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269265B6"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3645A4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2BE9437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2ECD2F7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0A3249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 vai tai piegulošajā teritorijā paredz iesegtu, apjumtu un apgaismotu atrkritumu glabātavu, lai ēkas lietotājiem nodrošinātu pārstrādājamu materiālu šķirošanu.</w:t>
            </w:r>
          </w:p>
          <w:p w14:paraId="5DBFF42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806253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Pieņēmumi, kas ir pamatā prognozēm par vajadzīgo vietu, ir balstīti metodoloģijā, kas noteikta Ministru kabineta 2017. gada 13. jūnija noteikumos Nr. 328 “Kritēriji un kārtība, kādā novērtē atkritumu dalītās savākšanas pakalpojuma pieejamību iedzīvotājiem”, Ministru kabineta 2016. gada 13. decembra noteikumos Nr. 788 “Noteikumi par atkritumu savākšanas un šķirošanas vietām”,  kā arī attiecīgās pašvaldības saistošajos noteikumos un labās prakses piemēros.</w:t>
            </w:r>
          </w:p>
          <w:p w14:paraId="0ECF109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8BC47A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2A1485A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057A71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Vietās, kur āra gaisa kvalitāte ir zemāka par ODA 1 kategoriju, izmantojot vismaz 2 pēdējo gadu gaisa kvalitātes monitoringa datus par gaisā suspendēto cieto daļiņu koncentrāciju (PM</w:t>
            </w:r>
            <w:r w:rsidRPr="00F90660">
              <w:rPr>
                <w:rFonts w:ascii="Times New Roman" w:eastAsia="SimSun" w:hAnsi="Times New Roman" w:cs="Times New Roman"/>
                <w:sz w:val="24"/>
                <w:szCs w:val="24"/>
                <w:vertAlign w:val="subscript"/>
              </w:rPr>
              <w:t>2.5</w:t>
            </w:r>
            <w:r w:rsidRPr="00F90660">
              <w:rPr>
                <w:rFonts w:ascii="Times New Roman" w:eastAsia="SimSun" w:hAnsi="Times New Roman" w:cs="Times New Roman"/>
                <w:sz w:val="24"/>
                <w:szCs w:val="24"/>
              </w:rPr>
              <w:t xml:space="preserve"> un PM</w:t>
            </w:r>
            <w:r w:rsidRPr="00F90660">
              <w:rPr>
                <w:rFonts w:ascii="Times New Roman" w:eastAsia="SimSun" w:hAnsi="Times New Roman" w:cs="Times New Roman"/>
                <w:sz w:val="24"/>
                <w:szCs w:val="24"/>
                <w:vertAlign w:val="subscript"/>
              </w:rPr>
              <w:t>10</w:t>
            </w:r>
            <w:r w:rsidRPr="00F90660">
              <w:rPr>
                <w:rFonts w:ascii="Times New Roman" w:eastAsia="SimSun" w:hAnsi="Times New Roman" w:cs="Times New Roman"/>
                <w:sz w:val="24"/>
                <w:szCs w:val="24"/>
              </w:rPr>
              <w:t>) no objektam tuvākās gaisa kvalitātes monitoringa stacijas, pasūtītājs norāda ODA kategoriju āra gaisam, atbilstoši harmonizētajā standartā LVS EN 16798-3:2018/NA:2020 „Ēku energoefektivitāte. Ēku ventilācija. 3. daļa: Nedzīvojamās ēkas. Veiktspējas prasības ventilācijas un telpu kondicionēšanas sistēmām (M5-1 un M5-4 moduļi). Nacionālais pielikums” dotajai metodoloģijai.</w:t>
            </w:r>
          </w:p>
          <w:p w14:paraId="6DB2E8C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9869F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Projektēšanas uzdevumā pasūtītājs norāda telpā piegādājamā gaisa kvalitātes kategoriju SUP telpu grupām, atbilstoši to funkcijām, saskaņā ar minētajā standartā noteikto principu. Ja telpām nav īpašas prasības, SUP kategoriju ieteicams izvēlēties atbilstoši Eurovent, 2017 rekomendācijām 4/23.</w:t>
            </w:r>
          </w:p>
          <w:p w14:paraId="0925FC9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157770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637F444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46A483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Būvniecībā paredzēti un izmantoti atgūtie materiāli vai komponentes.</w:t>
            </w:r>
          </w:p>
          <w:p w14:paraId="1C61D86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0B6A5A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nosaka konkrētu materiālu(-s) un / vai būves elementu(-s), kura(-u) sastāvā jāparedz atkārtoti izmantots(-i) un / vai viegli pārstrādājams(-i) materiāls(-i) vai komponente(-s). </w:t>
            </w:r>
          </w:p>
          <w:p w14:paraId="29FDDC2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F3679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var noteikt prasības attiecībā uz minēto elementu un / vai komponenšu īpatsvaru būvē vai konstrukcijā. </w:t>
            </w:r>
          </w:p>
          <w:p w14:paraId="36DAA24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C90C9D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Prasību var attiecināt uz jebkuru komponenti vai konstrukciju. Piemēram: </w:t>
            </w:r>
          </w:p>
          <w:p w14:paraId="599B6E6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nesošajās konstrukcijās</w:t>
            </w:r>
          </w:p>
          <w:p w14:paraId="3AE8569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ārējās norobežojošās konstrukcijas vai to elementi</w:t>
            </w:r>
          </w:p>
          <w:p w14:paraId="7E4EB68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grīdas segumi</w:t>
            </w:r>
          </w:p>
          <w:p w14:paraId="2CBCFA1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apdares materiāli</w:t>
            </w:r>
          </w:p>
          <w:p w14:paraId="68D2FBE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sienu un / vai griestu paneļi</w:t>
            </w:r>
          </w:p>
          <w:p w14:paraId="0115B11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u.tml. </w:t>
            </w:r>
          </w:p>
          <w:p w14:paraId="3836BA35"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40263B2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954CFF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25BBBA5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2DE91DA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323A5B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699A89E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8A9EE0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5A1DBE2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42152481"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75484DDD"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5B7722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39A2093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184984A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772376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jāsagatavo ēkas un / vai teritorijas plānus, kuros ir norādīta vieta vai vietas atkritumu šķirošanai un savākšanai, kā arī pieņēmumi, kas ir pamatā prognozēm par vajadzīgo vietu un infrastruktūru.</w:t>
            </w:r>
          </w:p>
          <w:p w14:paraId="53C3801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E15FC3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7C79F8E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E4FEE0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Projektētāja atbildība ir izvēlēties piemērotas kategorijas filtrus ventilācijas iekārtās, lai nodrošinātu pasūtītāja definēto pieplūdes gaisa  SUP kategoriju pie attiecīgās atrašanās vietas āra gaisa ODA kategorijas.</w:t>
            </w:r>
          </w:p>
          <w:p w14:paraId="0B6C1AB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D4924D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Pasūtītājs nosaka, ka ēkas apsaimniekotāja pienākums ir nodrošināt regulāras ventilācijas sistēmas apkopes (tai skaitā filtru nomaiņu), lai telpās nodrošinātu attiecīgo gaisa kvalitāti.</w:t>
            </w:r>
          </w:p>
          <w:p w14:paraId="0A17F1F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3AAC66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598B562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175217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Projektētājs specificē izmantojamo materiālu un / vai būves elementu, tā atkārtoti izmantotās komponentes apjomu. </w:t>
            </w:r>
          </w:p>
          <w:p w14:paraId="1591790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8DD784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Būvuzņēmējs apliecina atkārtoti izmantotā vai viegli pārstrādājama materiāla izmantošanu, iesniedzot produkta vides deklarāciju (saskaņā ar standartu EN ISO 14025:2010 Vides marķējumi un deklarācijas. Trešā tipa vides deklarācijas. Principi un procedūras (ISO 14025:2006) )</w:t>
            </w:r>
          </w:p>
          <w:p w14:paraId="335C4177"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71E01D1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DC97E8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0DD8E9DF"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6080CA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DD98BE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2EEA520B"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590D86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30CA600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5ED1BA8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EED1D9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Būvdarbu vadītājam ir pieredze norādītajās jomās, par kuru tas atbilstoši līgumam būs atbildīgs (izvēlēties attiecīgo konkrētam līgumam):</w:t>
            </w:r>
          </w:p>
          <w:p w14:paraId="5995EAB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759A69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būvdarbos jaunbūvju un/vai ēku atjaunošanas projektos (atzīmēt atbilstošo), tostarp dati (ja pieejami) par pabeigtu projektu izmērīto energopatēriņu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755A1A8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CB93F3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(BEMS) vai ekvivalentu sistēmu uzstādīšanā, ēkas apsaimniekotāju informēšanā par to, kā tās izmantot;</w:t>
            </w:r>
          </w:p>
          <w:p w14:paraId="09BA9FB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78DB93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pieredze ūdens patēriņa ziņā efektīvu sistēmu uzstādīšanā, tostarp dati (ja pieejami) par pabeigtu projektu izmērīto ūdens patēriņu uz darbinieku;</w:t>
            </w:r>
          </w:p>
          <w:p w14:paraId="73078AB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613B2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pieredze nojaukšanas un būvlaukuma atkritumu apsaimniekošanas plānu sekmīgā īstenošanā, maksimāli samazinot atkritumu apjomu, t.sk. arīzināšanas un pieredze nodrošinot atkritumu apstrādes iespējas ārpus būvlaukuma.</w:t>
            </w:r>
          </w:p>
          <w:p w14:paraId="4426917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6A6933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Attiecināmo prasību precizē, atkarībā no ēkas funkcijas/-ām un funkcionalitātes ēkā.</w:t>
            </w:r>
          </w:p>
          <w:p w14:paraId="0F696AF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A382C2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Pierādījumi: 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3802285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5D23B1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Kritēriju nepiemēro projektēšanas ZPI, ja projektēšanas pakalpojums tiek iepirkts atsevišķi no būvdarbiem.</w:t>
            </w:r>
          </w:p>
          <w:p w14:paraId="2D32B98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E0347E8"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5E38AE69"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E5A43C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7E692E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039E02D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FDF5C3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16E1F56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5909CE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47E0290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7D91D22B"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1F01C40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F87D67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93BC21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6492AA6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9A0F3E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Visiem kokmateriāliem vai koka izstrādājumiem, kas paredzēti iebūvei ēkā vai labiekārtojumos, jābūt iegūtiem no ilgtspējīgi apsaimniekotiem mežiem.</w:t>
            </w:r>
          </w:p>
          <w:p w14:paraId="5EBA031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115743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Kritērijs attiecas uz iebūvējamo kokmateriālu un koksnes produktiem. Neattiecas uz </w:t>
            </w:r>
            <w:r w:rsidRPr="00F90660">
              <w:rPr>
                <w:rFonts w:ascii="Times New Roman" w:eastAsia="SimSun" w:hAnsi="Times New Roman" w:cs="Times New Roman"/>
                <w:i/>
                <w:iCs/>
                <w:sz w:val="24"/>
                <w:szCs w:val="24"/>
              </w:rPr>
              <w:t>tehnisko koksni</w:t>
            </w:r>
            <w:r w:rsidRPr="00F90660">
              <w:rPr>
                <w:rFonts w:ascii="Times New Roman" w:eastAsia="SimSun" w:hAnsi="Times New Roman" w:cs="Times New Roman"/>
                <w:sz w:val="24"/>
                <w:szCs w:val="24"/>
              </w:rPr>
              <w:t xml:space="preserve"> – materiāls izmantots pagaidu konstrukcijās, tai skaitā, piemēram, veidņiem, drošības nožogojumam, barjerām būvniecības laikā u.tml.  </w:t>
            </w:r>
          </w:p>
          <w:p w14:paraId="4F17C97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E993E5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37F8599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D92614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03AAD60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BE2BB3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5434140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CF21AF9"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5E6DA4D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1C95CD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4FA7A7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58391E7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251AE8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FSC vai PFSC sertifikāts kokmateriāliem un / vai koka izstrādājumiem vai līdzvērtīgs notificētas iestādes apliecinājums par kokmateriālu un koksnes produktu atbilstību Eiropas Parlamenta un Padomes Regulas (ES) Nr. 995/2010 ( 2010. gada 20. oktobris ), ar ko nosaka pienākumus tirgus dalībniekiem, kas laiž tirgū kokmateriālus un koka izstrādājumus prasībām.</w:t>
            </w:r>
          </w:p>
          <w:p w14:paraId="32A0D32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ED1206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17D6350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FBD9DF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7862FF8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8F29BB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5E4D817E"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2F591BA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885B553" w14:textId="77777777" w:rsidR="00F90660" w:rsidRPr="00F90660" w:rsidRDefault="00F90660" w:rsidP="00F90660">
      <w:pPr>
        <w:spacing w:after="120" w:line="264" w:lineRule="auto"/>
        <w:jc w:val="both"/>
        <w:rPr>
          <w:rFonts w:ascii="Times New Roman" w:eastAsia="SimSun" w:hAnsi="Times New Roman" w:cs="Times New Roman"/>
          <w:b/>
          <w:bCs/>
          <w:sz w:val="24"/>
          <w:szCs w:val="24"/>
        </w:rPr>
      </w:pPr>
      <w:r w:rsidRPr="00F90660">
        <w:rPr>
          <w:rFonts w:ascii="Times New Roman" w:eastAsia="SimSun" w:hAnsi="Times New Roman" w:cs="Times New Roman"/>
          <w:b/>
          <w:bCs/>
          <w:sz w:val="24"/>
          <w:szCs w:val="24"/>
        </w:rPr>
        <w:t>8.5. Rūpnieciskās ražošanas ēkas (12510101 un 12510102) jaunas būvniecības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75B82419"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0C89EFB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2BE330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3A8AEB0B"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44DD8C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29813FC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Rūpnieciskās ražošanas ēkas jauna būvniecība vai projektēšanas un būvniecības pakalpojumi</w:t>
            </w:r>
          </w:p>
          <w:p w14:paraId="5E77883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AB142D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6D5D963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A593FC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Rūpnieciskās ražošanas ēkas pārbūve vai projektēšanas un pārbūves pakalpojumi</w:t>
            </w:r>
          </w:p>
          <w:p w14:paraId="0CEFC5B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58138A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29672E7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66E763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Rūpnieciskās ražošanas ēkas projektēšana </w:t>
            </w:r>
          </w:p>
          <w:p w14:paraId="06BA7799"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7E67E34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28621C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 ZPI prasības un kritēriji projektēšanas sagatavošanai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68E441F0"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ECAE88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94721B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6A751FBA"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7C28EB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DE91BD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12DD73B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4AC722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Atkarībā no ēkas lietošanas mērķa(-iem) un funkcijas(-ām), pasūtītājs izvirza attiecināmo(-ās) prasību(-as) attiecībā uz būvprojekta izstrādātāju pieredzi:</w:t>
            </w:r>
          </w:p>
          <w:p w14:paraId="76A3C04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14E8B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projektēšanā jaunbūvju un/vai ēku pārbūves projektos (atbilstoši iepirkuma specifikai), tostarp dati par pabeigtu projektu izmērīto energoefektivitāti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542FBA6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60F9F3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uzstādīšanā, ēkas apsaimniekotāju informēšanā par to ekspluatāciju un izmantošanu, lai konstatētu, kāds ir ēkas energopatēriņa modelis;</w:t>
            </w:r>
          </w:p>
          <w:p w14:paraId="605B297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4528E1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0E21528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2F6901C1"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2A4F21E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8D3592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7E2343EA"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F1011A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4681D70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71E4F2DE"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9F16B6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2DB34BE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B5 Velosipēdu un mikromobilitātes transporta līdzekļu novietne</w:t>
            </w:r>
          </w:p>
          <w:p w14:paraId="5272C65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82EC12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54B4EA0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B8402B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pasūtītājs ir paredzējis uzlādes punktu ierīkošanu ar elektrību darbināmajiem mikromobilitātes transporta līdzekļiem, pretendentam ir  jāizvērtē optimālākais risinājums un jānosaka nepieciešamo uzlādes punktu skaits, ņemot vērā plānoto pieprasījuma dinamiku.</w:t>
            </w:r>
          </w:p>
          <w:p w14:paraId="5268E1F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CB1EFD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714AD18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E556B1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 vai tai piegulošajā teritorijā paredz iesegtu, apjumtu un apgaismotu atrkritumu glabātavu, lai ēkas lietotājiem nodrošinātu pārstrādājamu materiālu šķirošanu.</w:t>
            </w:r>
          </w:p>
          <w:p w14:paraId="0DF9D74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4C47FA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Pieņēmumi, kas ir pamatā prognozēm par vajadzīgo vietu, ir balstīti metodoloģijā, kas noteikta Ministru kabineta 2017. gada 13. jūnija noteikumos Nr. 328 “Kritēriji un kārtība, kādā novērtē atkritumu dalītās savākšanas pakalpojuma pieejamību iedzīvotājiem”, Ministru kabineta 2016. gada 13. decembra noteikumos Nr. 788 “Noteikumi par atkritumu savākšanas un šķirošanas vietām”,  kā arī attiecīgās pašvaldības saistošajos noteikumos un labās prakses piemēros.</w:t>
            </w:r>
          </w:p>
          <w:p w14:paraId="41631B9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226407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6084733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445F31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Vietās, kur āra gaisa kvalitāte ir zemāka par ODA 1 kategoriju, izmantojot vismaz 2 pēdējo gadu gaisa kvalitātes monitoringa datus par gaisā suspendēto cieto daļiņu koncentrāciju (PM</w:t>
            </w:r>
            <w:r w:rsidRPr="00F90660">
              <w:rPr>
                <w:rFonts w:ascii="Times New Roman" w:eastAsia="SimSun" w:hAnsi="Times New Roman" w:cs="Times New Roman"/>
                <w:sz w:val="24"/>
                <w:szCs w:val="24"/>
                <w:vertAlign w:val="subscript"/>
              </w:rPr>
              <w:t>2.5</w:t>
            </w:r>
            <w:r w:rsidRPr="00F90660">
              <w:rPr>
                <w:rFonts w:ascii="Times New Roman" w:eastAsia="SimSun" w:hAnsi="Times New Roman" w:cs="Times New Roman"/>
                <w:sz w:val="24"/>
                <w:szCs w:val="24"/>
              </w:rPr>
              <w:t xml:space="preserve"> un PM</w:t>
            </w:r>
            <w:r w:rsidRPr="00F90660">
              <w:rPr>
                <w:rFonts w:ascii="Times New Roman" w:eastAsia="SimSun" w:hAnsi="Times New Roman" w:cs="Times New Roman"/>
                <w:sz w:val="24"/>
                <w:szCs w:val="24"/>
                <w:vertAlign w:val="subscript"/>
              </w:rPr>
              <w:t>10</w:t>
            </w:r>
            <w:r w:rsidRPr="00F90660">
              <w:rPr>
                <w:rFonts w:ascii="Times New Roman" w:eastAsia="SimSun" w:hAnsi="Times New Roman" w:cs="Times New Roman"/>
                <w:sz w:val="24"/>
                <w:szCs w:val="24"/>
              </w:rPr>
              <w:t>) no objektam tuvākās gaisa kvalitātes monitoringa stacijas, pasūtītājs norāda ODA kategoriju āra gaisam, atbilstoši harmonizētajā standartā LVS EN 16798-3:2018/NA:2020 „Ēku energoefektivitāte. Ēku ventilācija. 3. daļa: Nedzīvojamās ēkas. Veiktspējas prasības ventilācijas un telpu kondicionēšanas sistēmām (M5-1 un M5-4 moduļi). Nacionālais pielikums” dotajai metodoloģijai.</w:t>
            </w:r>
          </w:p>
          <w:p w14:paraId="1A8B332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9359CA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Projektēšanas uzdevumā pasūtītājs norāda telpā piegādājamā gaisa kvalitātes kategoriju SUP telpu grupām, atbilstoši to funkcijām, saskaņā ar minētajā standartā noteikto principu. Ja telpām nav īpašas prasības, SUP kategoriju ieteicams izvēlēties atbilstoši Eurovent, 2017 rekomendācijām 4/23.</w:t>
            </w:r>
          </w:p>
          <w:p w14:paraId="48C6C14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BF287A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724A117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E8CE43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Būvniecībā paredzēti un izmantoti atgūtie materiāli vai komponentes.</w:t>
            </w:r>
          </w:p>
          <w:p w14:paraId="1E1CC21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04FB71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nosaka konkrētu materiālu(-s) un / vai būves elementu(-s), kura(-u) sastāvā jāparedz atkārtoti izmantots(-i) un / vai viegli pārstrādājams(-i) materiāls(-i) vai komponente(-s). </w:t>
            </w:r>
          </w:p>
          <w:p w14:paraId="1D2FBE0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B9AEA9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var noteikt prasības attiecībā uz minēto elementu un / vai komponenšu īpatsvaru būvē vai konstrukcijā. </w:t>
            </w:r>
          </w:p>
          <w:p w14:paraId="1127667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F92F6D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Prasību var attiecināt uz jebkuru komponenti vai konstrukciju. Piemēram: </w:t>
            </w:r>
          </w:p>
          <w:p w14:paraId="3414698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nesošajās konstrukcijās</w:t>
            </w:r>
          </w:p>
          <w:p w14:paraId="0E2033B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ārējās norobežojošās konstrukcijas vai to elementi</w:t>
            </w:r>
          </w:p>
          <w:p w14:paraId="046C894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grīdas segumi</w:t>
            </w:r>
          </w:p>
          <w:p w14:paraId="52DB89E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apdares materiāli</w:t>
            </w:r>
          </w:p>
          <w:p w14:paraId="4B45B78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sienu un / vai griestu paneļi</w:t>
            </w:r>
          </w:p>
          <w:p w14:paraId="4C9ED61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u.tml. </w:t>
            </w:r>
          </w:p>
          <w:p w14:paraId="04880999"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32569FD7"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746290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599FFD0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69BAE48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1DD4FC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Piedāvājumā norādītais būvspeciālists ir zinošs un tam ir pieredze jomā, kurā pasūtītājs prasījis apliecināt pieredzi un par kuru tas būs atbildīgs līguma izpildes gaitā.</w:t>
            </w:r>
          </w:p>
          <w:p w14:paraId="624B5FF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0AE31B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35B549C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06DB9E5A"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4E359AAA"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03EB6F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0FE4D5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76E8F49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1FD233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jāsagatavo ēkas un / vai teritorijas plānus, kuros ir norādīta vieta vai vietas atkritumu šķirošanai un savākšanai, kā arī pieņēmumi, kas ir pamatā prognozēm par vajadzīgo vietu un infrastruktūru.</w:t>
            </w:r>
          </w:p>
          <w:p w14:paraId="473D02A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9C467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2848361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550220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Projektētāja atbildība ir izvēlēties piemērotas kategorijas filtrus ventilācijas iekārtās, lai nodrošinātu pasūtītāja definēto pieplūdes gaisa  SUP kategoriju pie attiecīgās atrašanās vietas āra gaisa ODA kategorijas.</w:t>
            </w:r>
          </w:p>
          <w:p w14:paraId="1E35D17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1B280C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Pasūtītājs nosaka, ka ēkas apsaimniekotāja pienākums ir nodrošināt regulāras ventilācijas sistēmas apkopes (tai skaitā filtru nomaiņu), lai telpās nodrošinātu attiecīgo gaisa kvalitāti.</w:t>
            </w:r>
          </w:p>
          <w:p w14:paraId="0802258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565CB4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3D3582C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8E7919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 xml:space="preserve">Projektētājs specificē izmantojamo materiālu un / vai būves elementu, tā atkārtoti izmantotās komponentes apjomu. </w:t>
            </w:r>
          </w:p>
          <w:p w14:paraId="76C8501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DB6BD6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Būvuzņēmējs apliecina atkārtoti izmantotā vai viegli pārstrādājama materiāla izmantošanu, iesniedzot produkta vides deklarāciju (saskaņā ar standartu EN ISO 14025:2010 Vides marķējumi un deklarācijas. Trešā tipa vides deklarācijas. Principi un procedūras (ISO 14025:2006) )</w:t>
            </w:r>
          </w:p>
          <w:p w14:paraId="668D1A44"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797B3E2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80D3D1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1CABD01F"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EEC33E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468FFB6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77BDC2BC"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65BEFD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00D800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70F61DE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CE5328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Būvdarbu vadītājam ir pieredze norādītajās jomās, par kuru tas atbilstoši līgumam būs atbildīgs (izvēlēties attiecīgo konkrētam līgumam):</w:t>
            </w:r>
          </w:p>
          <w:p w14:paraId="6FD1482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AC8EBF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būvdarbos jaunbūvju un/vai ēku atjaunošanas projektos (atzīmēt atbilstošo), tostarp dati (ja pieejami) par pabeigtu projektu izmērīto energopatēriņu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19110B6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DEFD38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(BEMS) vai ekvivalentu sistēmu uzstādīšanā, ēkas apsaimniekotāju informēšanā par to, kā tās izmantot;</w:t>
            </w:r>
          </w:p>
          <w:p w14:paraId="34938D3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B9DF57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pieredze ūdens patēriņa ziņā efektīvu sistēmu uzstādīšanā, tostarp dati (ja pieejami) par pabeigtu projektu izmērīto ūdens patēriņu uz darbinieku;</w:t>
            </w:r>
          </w:p>
          <w:p w14:paraId="15DD9DD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1FCCD8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4) pieredze nojaukšanas un būvlaukuma atkritumu apsaimniekošanas plānu sekmīgā īstenošanā, maksimāli samazinot atkritumu apjomu, t.sk. arīzināšanas un pieredze nodrošinot atkritumu apstrādes iespējas ārpus būvlaukuma.</w:t>
            </w:r>
          </w:p>
          <w:p w14:paraId="0A662D2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CE015E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Attiecināmo prasību precizē, atkarībā no ēkas funkcijas/-ām un funkcionalitātes ēkā.</w:t>
            </w:r>
          </w:p>
          <w:p w14:paraId="0BB510B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C5009F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Pierādījumi: 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659BF4E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B0EC1B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70298E9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550619F"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6402E504"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5E4AC6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0B7641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4688347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252100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513E937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8AD41C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59C17CE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6EE1B5A8"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403FA770"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E18B56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74F3056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2A2439D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ACB775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Visiem kokmateriāliem vai koka izstrādājumiem, kas paredzēti iebūvei ēkā vai labiekārtojumos, jābūt iegūtiem no ilgtspējīgi apsaimniekotiem mežiem.</w:t>
            </w:r>
          </w:p>
          <w:p w14:paraId="7AAF4CE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227230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 xml:space="preserve">Kritērijs attiecas uz iebūvējamo kokmateriālu un koksnes produktiem. Neattiecas uz </w:t>
            </w:r>
            <w:r w:rsidRPr="00F90660">
              <w:rPr>
                <w:rFonts w:ascii="Times New Roman" w:eastAsia="SimSun" w:hAnsi="Times New Roman" w:cs="Times New Roman"/>
                <w:i/>
                <w:iCs/>
                <w:sz w:val="24"/>
                <w:szCs w:val="24"/>
              </w:rPr>
              <w:t>tehnisko koksni</w:t>
            </w:r>
            <w:r w:rsidRPr="00F90660">
              <w:rPr>
                <w:rFonts w:ascii="Times New Roman" w:eastAsia="SimSun" w:hAnsi="Times New Roman" w:cs="Times New Roman"/>
                <w:sz w:val="24"/>
                <w:szCs w:val="24"/>
              </w:rPr>
              <w:t xml:space="preserve"> – materiāls izmantots pagaidu konstrukcijās, tai skaitā, piemēram, veidņiem, drošības nožogojumam, barjerām būvniecības laikā u.tml.  </w:t>
            </w:r>
          </w:p>
          <w:p w14:paraId="2276771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5C2864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02A5B64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A4F420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3DA5A84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7361F3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1259206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03D06EF"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026121F2"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507386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10B789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101D58E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0E7491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FSC vai PFSC sertifikāts kokmateriāliem un / vai koka izstrādājumiem vai līdzvērtīgs notificētas iestādes apliecinājums par kokmateriālu un koksnes produktu atbilstību Eiropas Parlamenta un Padomes Regulas (ES) Nr. 995/2010 ( 2010. gada 20. oktobris ), ar ko nosaka pienākumus tirgus dalībniekiem, kas laiž tirgū kokmateriālus un koka izstrādājumus prasībām.</w:t>
            </w:r>
          </w:p>
          <w:p w14:paraId="53EAD3C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2CBB23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0B80CCE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741D3E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636ADC7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597DC9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7DF6DBF4"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635FEF9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2777A47" w14:textId="77777777" w:rsidR="00F90660" w:rsidRPr="00F90660" w:rsidRDefault="00F90660" w:rsidP="00F90660">
      <w:pPr>
        <w:spacing w:after="120" w:line="264" w:lineRule="auto"/>
        <w:jc w:val="both"/>
        <w:rPr>
          <w:rFonts w:ascii="Times New Roman" w:eastAsia="SimSun" w:hAnsi="Times New Roman" w:cs="Times New Roman"/>
          <w:b/>
          <w:bCs/>
          <w:sz w:val="24"/>
          <w:szCs w:val="24"/>
        </w:rPr>
      </w:pPr>
      <w:r w:rsidRPr="00F90660">
        <w:rPr>
          <w:rFonts w:ascii="Times New Roman" w:eastAsia="SimSun" w:hAnsi="Times New Roman" w:cs="Times New Roman"/>
          <w:b/>
          <w:bCs/>
          <w:sz w:val="24"/>
          <w:szCs w:val="24"/>
        </w:rPr>
        <w:t>8.6. sporta ēkas (126501) jaunas būvniecības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11BA353C"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C9AE16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CC58CE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63F15C2F"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F98F9B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1AAFCC4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Sporta ēkas jauna būvniecība vai projektēšanas un būvniecības pakalpojumi</w:t>
            </w:r>
          </w:p>
          <w:p w14:paraId="653D670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FA5AB0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119F8D6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0FF87B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Sporta ēkas pārbūve vai projektēšanas un pārbūves pakalpojumi</w:t>
            </w:r>
          </w:p>
          <w:p w14:paraId="5605A01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0DC5A5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vai</w:t>
            </w:r>
          </w:p>
          <w:p w14:paraId="1081B0D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A69F2A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Sporta ēkas projektēšana</w:t>
            </w:r>
          </w:p>
          <w:p w14:paraId="2D8F0CF8"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3D6A6BF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6BCA3F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 ZPI prasības un kritēriji projektēšanas sagatavošanai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65BE3804"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DEC292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7F2B95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56454DAF"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D77EEB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D0E70C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7E08300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B27FBF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Atkarībā no ēkas lietošanas mērķa(-iem) un funkcijas(-ām), pasūtītājs izvirza tikai pirmo, vai arī vairākas no zemāk minētajām prasībām attiecībā uz būvprojekta izstrādātāju pieredzi:</w:t>
            </w:r>
          </w:p>
          <w:p w14:paraId="67FA618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B7CBC0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projektēšanā jaunbūvju un/vai ēku pārbūves projektos (atbilstoši iepirkuma specifikai), tostarp dati par pabeigtu projektu izmērīto energoefektivitāti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4B47458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842D06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uzstādīšanā, ēkas apsaimniekotāju informēšanā par to ekspluatāciju un izmantošanu, lai konstatētu, kāds ir ēkas energopatēriņa modelis;</w:t>
            </w:r>
          </w:p>
          <w:p w14:paraId="0641545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4D301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3) pieredze ūdens patēriņa ziņā efektīvu ietaišu projektēšanā, tostarp dati par pabeigtu projektu izmērīto ūdens patēriņu uz lietotāju.</w:t>
            </w:r>
          </w:p>
          <w:p w14:paraId="133A11A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5C4422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452BCAF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3C16EB15"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3BC2103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EF5A99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0109FF0F"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5177A68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63C440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4B3AEDAE"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778A9F8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1C16663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225C3A8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73D174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jaunas būvniecības iepirkumiem būves kopējās primārās enerģijas patēriņa novērtējums kWh/m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gadā atbilst A+ klasei un primārās neatjaunojamās enerģijas patēriņa novērtējums nepārsniedz 60 %. </w:t>
            </w:r>
          </w:p>
          <w:p w14:paraId="0DB2729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1E280A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pārbūves darbu iepirkumā būves kopējo primāro enerģijas patēriņa novērtējumu var noteikt A klases līmenī, tai skaitā primārās neatjaunojamās enerģijas patēriņa novērtējums ir lielāks par 60%.</w:t>
            </w:r>
          </w:p>
          <w:p w14:paraId="396EDEF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D6D529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B5 Velosipēdu un mikromobilitātes transporta līdzekļu novietne</w:t>
            </w:r>
          </w:p>
          <w:p w14:paraId="1606846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11847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22145D9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256595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pasūtītājs ir paredzējis uzlādes punktu ierīkošanu ar elektrību darbināmajiem mikromobilitātes transporta līdzekļiem, pretendentam ir  jāizvērtē optimālākais risinājums un jānosaka nepieciešamo uzlādes punktu skaits, ņemot vērā plānoto pieprasījuma dinamiku.</w:t>
            </w:r>
          </w:p>
          <w:p w14:paraId="45AD69D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8C343A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6606BAD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B3A1F1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 vai tai piegulošajā teritorijā paredz iesegtu, apjumtu un apgaismotu atrkritumu glabātavu, lai ēkas lietotājiem nodrošinātu pārstrādājamu materiālu šķirošanu.</w:t>
            </w:r>
          </w:p>
          <w:p w14:paraId="6FC7D1E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FCB8FB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Pieņēmumi, kas ir pamatā prognozēm par vajadzīgo vietu, ir balstīti metodoloģijā, kas noteikta Ministru kabineta 2017. gada 13. jūnija noteikumos Nr. 328 “Kritēriji un kārtība, kādā novērtē atkritumu dalītās savākšanas pakalpojuma pieejamību iedzīvotājiem”, Ministru kabineta 2016. gada 13. decembra noteikumos Nr. 788 “Noteikumi par atkritumu savākšanas un šķirošanas vietām”,  kā arī attiecīgās pašvaldības saistošajos noteikumos un labās prakses piemēros.</w:t>
            </w:r>
          </w:p>
          <w:p w14:paraId="1F5607D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276EC0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B7 Ūdens taupīšanas ietaises</w:t>
            </w:r>
          </w:p>
          <w:p w14:paraId="674A12E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FC4D90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Visas sanitārās un virtuves ūdens ietaises ir aprīkotas ar efektīvu ūdensapgādes aprīkojumu, kas atbilst šo noteikumu 2. pielikuma 6. un 11. punktā noteiktajiem  kritērijiem par sanitārtehnisko aprīkojumu un klozetpodiem un pisuāriem ar noskalošanas funkciju un sanitārtehniskajai armatūrai.  </w:t>
            </w:r>
          </w:p>
          <w:p w14:paraId="5DC6AD9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9FE881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24B6EAF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85FCF3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Vietās, kur āra gaisa kvalitāte ir zemāka par ODA 1 kategoriju, izmantojot vismaz 2 pēdējo gadu gaisa kvalitātes monitoringa datus par gaisā suspendēto cieto daļiņu koncentrāciju (PM</w:t>
            </w:r>
            <w:r w:rsidRPr="00F90660">
              <w:rPr>
                <w:rFonts w:ascii="Times New Roman" w:eastAsia="SimSun" w:hAnsi="Times New Roman" w:cs="Times New Roman"/>
                <w:sz w:val="24"/>
                <w:szCs w:val="24"/>
                <w:vertAlign w:val="subscript"/>
              </w:rPr>
              <w:t>2.5</w:t>
            </w:r>
            <w:r w:rsidRPr="00F90660">
              <w:rPr>
                <w:rFonts w:ascii="Times New Roman" w:eastAsia="SimSun" w:hAnsi="Times New Roman" w:cs="Times New Roman"/>
                <w:sz w:val="24"/>
                <w:szCs w:val="24"/>
              </w:rPr>
              <w:t xml:space="preserve"> un PM</w:t>
            </w:r>
            <w:r w:rsidRPr="00F90660">
              <w:rPr>
                <w:rFonts w:ascii="Times New Roman" w:eastAsia="SimSun" w:hAnsi="Times New Roman" w:cs="Times New Roman"/>
                <w:sz w:val="24"/>
                <w:szCs w:val="24"/>
                <w:vertAlign w:val="subscript"/>
              </w:rPr>
              <w:t>10</w:t>
            </w:r>
            <w:r w:rsidRPr="00F90660">
              <w:rPr>
                <w:rFonts w:ascii="Times New Roman" w:eastAsia="SimSun" w:hAnsi="Times New Roman" w:cs="Times New Roman"/>
                <w:sz w:val="24"/>
                <w:szCs w:val="24"/>
              </w:rPr>
              <w:t xml:space="preserve">) no objektam tuvākās gaisa kvalitātes monitoringa stacijas, pasūtītājs </w:t>
            </w:r>
            <w:r w:rsidRPr="00F90660">
              <w:rPr>
                <w:rFonts w:ascii="Times New Roman" w:eastAsia="SimSun" w:hAnsi="Times New Roman" w:cs="Times New Roman"/>
                <w:sz w:val="24"/>
                <w:szCs w:val="24"/>
              </w:rPr>
              <w:lastRenderedPageBreak/>
              <w:t>norāda ODA kategoriju āra gaisam, atbilstoši harmonizētajā standartā LVS EN 16798-3:2018/NA:2020 „Ēku energoefektivitāte. Ēku ventilācija. 3. daļa: Nedzīvojamās ēkas. Veiktspējas prasības ventilācijas un telpu kondicionēšanas sistēmām (M5-1 un M5-4 moduļi). Nacionālais pielikums” dotajai metodoloģijai.</w:t>
            </w:r>
          </w:p>
          <w:p w14:paraId="2E9CEBD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50F4FF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Projektēšanas uzdevumā pasūtītājs norāda telpā piegādājamā gaisa kvalitātes kategoriju SUP telpu grupām, atbilstoši to funkcijām, saskaņā ar minētajā standartā noteikto principu. Ja telpām nav īpašas prasības, SUP kategoriju ieteicams izvēlēties atbilstoši Eurovent, 2017 rekomendācijām 4/23.</w:t>
            </w:r>
          </w:p>
          <w:p w14:paraId="477AD86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ECC809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166E224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A250C0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Būvniecībā paredzēti un izmantoti atgūtie materiāli vai komponentes.</w:t>
            </w:r>
          </w:p>
          <w:p w14:paraId="1A4C32E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8499C2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nosaka konkrētu materiālu(-s) un / vai būves elementu(-s), kura(-u) sastāvā jāparedz atkārtoti izmantots(-i) un / vai viegli pārstrādājams(-i) materiāls(-i) vai komponente(-s). </w:t>
            </w:r>
          </w:p>
          <w:p w14:paraId="3AF7CAD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F2DC27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var noteikt prasības attiecībā uz minēto elementu un / vai komponenšu īpatsvaru būvē vai konstrukcijā. </w:t>
            </w:r>
          </w:p>
          <w:p w14:paraId="298A550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AEDBD4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Prasību var attiecināt uz jebkuru komponenti vai konstrukciju. Piemēram: </w:t>
            </w:r>
          </w:p>
          <w:p w14:paraId="4D83E3D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nesošajās konstrukcijās</w:t>
            </w:r>
          </w:p>
          <w:p w14:paraId="57C7FFF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ārējās norobežojošās konstrukcijas vai to elementi</w:t>
            </w:r>
          </w:p>
          <w:p w14:paraId="2EB3E9F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grīdas segumi</w:t>
            </w:r>
          </w:p>
          <w:p w14:paraId="47249CC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apdares materiāli</w:t>
            </w:r>
          </w:p>
          <w:p w14:paraId="629E45A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sienu un / vai griestu paneļi</w:t>
            </w:r>
          </w:p>
          <w:p w14:paraId="6CE39BB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u.tml. </w:t>
            </w:r>
          </w:p>
          <w:p w14:paraId="72DAB411"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2BFE70B9"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EBD0FA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260DE1D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7D9DD81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B779BC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26A1298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FC38F1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5C54434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pasūtītājs norādīto darbu īstenošanu un datus par rezultātu mērījumiem. Piegādātājs pievieno to speciālistu CV, kuri strādās pie projekta, kā arī apliecinājumu, ka speciālists veicis profesionālu pilnveidošanos attiecīgajās jomās.</w:t>
            </w:r>
          </w:p>
          <w:p w14:paraId="27A625A2"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67F6F932"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B373DE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14D9DF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49B182D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9F54CD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Tehniskā projekta izstrādes posmā pasūtītājs vai pasūtītāja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1291D30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F59CE9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Pēc būvdarbu vai pārbūves darbu pabeigšanas pasūtītājs uzdod ēkas apsaimniekotājam veikt pastāvīgu enerģijas patēriņa monitoringu un 3 (trīs) gadus pēc būvdarbu pabeigšanas un ekspluatācijas uzsākšanas pasūtīt ēkas energosertificēšanu.</w:t>
            </w:r>
          </w:p>
          <w:p w14:paraId="335689C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9EFC5B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1E801EE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42F14B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jāsagatavo ēkas un / vai teritorijas plānus, kuros ir norādīta vieta vai vietas atkritumu šķirošanai un savākšanai, kā arī pieņēmumi, kas ir pamatā prognozēm par vajadzīgo vietu un infrastruktūru.</w:t>
            </w:r>
          </w:p>
          <w:p w14:paraId="0D3B315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2E07D3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B7 Ūdens taupīšanas ietaises</w:t>
            </w:r>
          </w:p>
          <w:p w14:paraId="692FAF8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56E532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Atbilstību apliecina produktu datu lapas, kurās norādītie ūdens patēriņa parametri un darbības specifikācija atbilst tehniskajā specifikācijā minētajām prasībām.  </w:t>
            </w:r>
          </w:p>
          <w:p w14:paraId="5479732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242C96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6734428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AE979B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Projektētāja atbildība ir izvēlēties piemērotas kategorijas filtrus ventilācijas iekārtās, lai nodrošinātu pasūtītājs definēto pieplūdes gaisa  SUP kategoriju pie attiecīgās atrašanās vietas āra gaisa ODA kategorijas.</w:t>
            </w:r>
          </w:p>
          <w:p w14:paraId="49EFCD5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FA5EE6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Pasūtītājs nosaka, ka ēkas apsaimniekotāja pienākums ir nodrošināt regulāras ventilācijas sistēmas apkopes (tai skaitā filtru nomaiņu), lai telpās nodrošinātu attiecīgo gaisa kvalitāti.</w:t>
            </w:r>
          </w:p>
          <w:p w14:paraId="6BB7D72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6C60F6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774964E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5B0587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Projektētājs specificē izmantojamo materiālu un / vai būves elementu, tā atkārtoti izmantotās komponentes apjomu. </w:t>
            </w:r>
          </w:p>
          <w:p w14:paraId="693DCA2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2822C7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Būvuzņēmējs apliecina atkārtoti izmantotā vai viegli pārstrādājama materiāla izmantošanu, iesniedzot produkta vides deklarāciju (saskaņā ar standartu EN ISO 14025:2010 Vides marķējumi un deklarācijas. Trešā tipa vides deklarācijas. Principi un procedūras (ISO 14025:2006) )</w:t>
            </w:r>
          </w:p>
          <w:p w14:paraId="56F09E55"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08C2ED9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921D8C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23C70908"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62862E1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0A34CD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26FBB410"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25B22B3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3F31608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6451230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7BA041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Būvdarbu vadītājam ir pieredze norādītajās jomās, par kuru tas atbilstoši līgumam būs atbildīgs (izvēlēties attiecīgo konkrētam līgumam):</w:t>
            </w:r>
          </w:p>
          <w:p w14:paraId="563C78F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8F990E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būvdarbos jaunbūvju un/vai ēku atjaunošanas projektos (atzīmēt atbilstošo), tostarp dati (ja pieejami) par pabeigtu projektu izmērīto energopatēriņu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4939648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9D1A09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(BEMS) vai ekvivalentu sistēmu uzstādīšanā, ēkas apsaimniekotāju informēšanā par to, kā tās izmantot;</w:t>
            </w:r>
          </w:p>
          <w:p w14:paraId="3A0AF17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0DE1A9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pieredze ūdens patēriņa ziņā efektīvu sistēmu uzstādīšanā, tostarp dati (ja pieejami) par pabeigtu projektu izmērīto ūdens patēriņu uz darbinieku;</w:t>
            </w:r>
          </w:p>
          <w:p w14:paraId="73AE6A0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5261BE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pieredze nojaukšanas un būvlaukuma atkritumu apsaimniekošanas plānu sekmīgā īstenošanā, maksimāli samazinot atkritumu apjomu, t.sk. arīzināšanas un pieredze nodrošinot atkritumu apstrādes iespējas ārpus būvlaukuma.</w:t>
            </w:r>
          </w:p>
          <w:p w14:paraId="22086D7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85C493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Attiecināmo prasību precizē, atkarībā no ēkas funkcijas/-ām un funkcionalitātes ēkā.</w:t>
            </w:r>
          </w:p>
          <w:p w14:paraId="4770CA4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D0CA15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Pierādījumi: 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789766F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35701E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Kritēriju nepiemēro projektēšanas ZPI, ja projektēšanas pakalpojums tiek iepirkts atsevišķi no būvdarbiem.</w:t>
            </w:r>
          </w:p>
          <w:p w14:paraId="1BF1D16B"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0E4D5807"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1379A8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D2F5F1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4D60DF5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864AD3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695557E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A19A1E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146570E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12A991DC"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2214B6C8"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836B35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758C318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1E54149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AA64F3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Visiem kokmateriāliem vai koka izstrādājumiem, kas paredzēti iebūvei ēkā vai labiekārtojumos, jābūt iegūtiem no ilgtspējīgi apsaimniekotiem mežiem.</w:t>
            </w:r>
          </w:p>
          <w:p w14:paraId="793944C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510335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Kritērijs attiecas uz iebūvējamo kokmateriālu un koksnes produktiem. Neattiecas uz </w:t>
            </w:r>
            <w:r w:rsidRPr="00F90660">
              <w:rPr>
                <w:rFonts w:ascii="Times New Roman" w:eastAsia="SimSun" w:hAnsi="Times New Roman" w:cs="Times New Roman"/>
                <w:i/>
                <w:iCs/>
                <w:sz w:val="24"/>
                <w:szCs w:val="24"/>
              </w:rPr>
              <w:t>tehnisko koksni</w:t>
            </w:r>
            <w:r w:rsidRPr="00F90660">
              <w:rPr>
                <w:rFonts w:ascii="Times New Roman" w:eastAsia="SimSun" w:hAnsi="Times New Roman" w:cs="Times New Roman"/>
                <w:sz w:val="24"/>
                <w:szCs w:val="24"/>
              </w:rPr>
              <w:t xml:space="preserve"> – materiāls izmantots pagaidu konstrukcijās, tai skaitā, piemēram, veidņiem, drošības nožogojumam, barjerām būvniecības laikā u.tml.</w:t>
            </w:r>
          </w:p>
          <w:p w14:paraId="798DD76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w:t>
            </w:r>
          </w:p>
          <w:p w14:paraId="518EA6D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68A2BCE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635B20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14FA79C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81F721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19695E5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A54CBA0"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54200BEA"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0FB4E1A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2941E36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5FBE3D3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0401DE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FSC vai PFSC sertifikāts kokmteriāliem un / vai koka izstrādājumiem vai līdzvērtīgs notificētas iestādes apliecinājums par kokmateriālu un koksnes produktu atbilstību Eiropas Parlamenta un Padomes Regulas (ES) Nr. 995/2010 ( 2010. gada 20. oktobris ), ar ko nosaka pienākumus tirgus dalībniekiem, kas laiž tirgū kokmateriālus un koka izstrādājumus prasībām.</w:t>
            </w:r>
          </w:p>
          <w:p w14:paraId="56C92C5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7EB61F1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BD4161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025F5A2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F11503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763E6E72"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6C75FDA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58FD95E" w14:textId="77777777" w:rsidR="00F90660" w:rsidRPr="00F90660" w:rsidRDefault="00F90660" w:rsidP="00F90660">
      <w:pPr>
        <w:spacing w:after="120" w:line="264" w:lineRule="auto"/>
        <w:jc w:val="both"/>
        <w:rPr>
          <w:rFonts w:ascii="Times New Roman" w:eastAsia="SimSun" w:hAnsi="Times New Roman" w:cs="Times New Roman"/>
          <w:b/>
          <w:bCs/>
          <w:sz w:val="24"/>
          <w:szCs w:val="24"/>
        </w:rPr>
      </w:pPr>
      <w:r w:rsidRPr="00F90660">
        <w:rPr>
          <w:rFonts w:ascii="Times New Roman" w:eastAsia="SimSun" w:hAnsi="Times New Roman" w:cs="Times New Roman"/>
          <w:b/>
          <w:bCs/>
          <w:sz w:val="24"/>
          <w:szCs w:val="24"/>
        </w:rPr>
        <w:t>8.7. tirdzniecības ēkas (12300101) jaunas būvniecības vai pārbūves iecere, vai projektēšana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4FB97534"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7A92908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63BFCA1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19A2610C"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8D22E5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248D9B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Tirdzniecības ēkas jauna būvniecība vai projektēšanas un būvniecības pakalpojumi</w:t>
            </w:r>
          </w:p>
          <w:p w14:paraId="4FD5CD2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82B179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vai </w:t>
            </w:r>
          </w:p>
          <w:p w14:paraId="083418C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1A8455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Tirdzniecības ēkas pārbūve vai projektēšanas un pārbūves pakalpojumi</w:t>
            </w:r>
          </w:p>
          <w:p w14:paraId="3F79F94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55CA8E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vai </w:t>
            </w:r>
          </w:p>
          <w:p w14:paraId="0EC881C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D27A3A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Tirdzniecības ēkas projektēšana</w:t>
            </w:r>
          </w:p>
          <w:p w14:paraId="34BE413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1D9BFDE"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0571C21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82F7D5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 ZPI prasības un kritēriji projektēšanas sagatavošanai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2F6E653B"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50E93B8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1E9E068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081D6119"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92E54A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171C0A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43F81BB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04CD21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Atkarībā no ēkas lietošanas mērķa(-iem) un funkcijas(-ām), pasūtītājs izvirza tikai pirmo, vai arī vairākas no zemāk minētajām prasībām attiecībā uz būvprojekta izstrādātāju pieredzi:</w:t>
            </w:r>
          </w:p>
          <w:p w14:paraId="3E2396B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658C6D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projektēšanā jaunbūvju un/vai ēku pārbūves projektos (atbilstoši iepirkuma specifikai), tostarp dati par pabeigtu projektu izmērīto energoefektivitāti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46D0E4F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6ECE73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uzstādīšanā, ēkas apsaimniekotāju informēšanā par to ekspluatāciju un izmantošanu, lai konstatētu, kāds ir ēkas energopatēriņa modelis;</w:t>
            </w:r>
          </w:p>
          <w:p w14:paraId="596F231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7A2EC3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604D14A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tc>
      </w:tr>
    </w:tbl>
    <w:p w14:paraId="6A22B22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01A6E1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 ZPI prasības un kritēriji projektēšanai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44A59D5C"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20FE715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5C4E587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6D07410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092A61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34FBA29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349A597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066404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jaunas būvniecības iepirkumiem būves kopējās primārās enerģijas patēriņa novērtējums kWh/m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gadā atbilst A+ klasei un </w:t>
            </w:r>
            <w:r w:rsidRPr="00F90660">
              <w:rPr>
                <w:rFonts w:ascii="Times New Roman" w:eastAsia="SimSun" w:hAnsi="Times New Roman" w:cs="Times New Roman"/>
                <w:sz w:val="24"/>
                <w:szCs w:val="24"/>
              </w:rPr>
              <w:lastRenderedPageBreak/>
              <w:t xml:space="preserve">primārās neatjaunojamās enerģijas patēriņa novērtējums nepārsniedz 60 %. </w:t>
            </w:r>
          </w:p>
          <w:p w14:paraId="0DBCEA2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36F34B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Ēku pārbūves darbu iepirkumā būves kopējo primāro enerģijas patēriņa novērtējumu var noteikt A klases līmenī, tai skaitā primārās neatjaunojamās enerģijas patēriņa novērtējums ir lielāks par 60%.</w:t>
            </w:r>
          </w:p>
          <w:p w14:paraId="7C45BE1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A9B983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B5 Velosipēdu un mikromobilitātes transporta līdzekļu novietne</w:t>
            </w:r>
          </w:p>
          <w:p w14:paraId="5E2B074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3C37A2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Ēkas projektā paredz drošu un ērti pieejamu, iesegtu, apjumtu un apgaismotu velosipēdu un mikromobilitātes transporta līdzekļu novietni. Vietu skaitu nosaka, pamatojoties uz ēku novērtēšanas shēmu, ņemot vērā arī plānoto iespējamo skaita palielinājumu.</w:t>
            </w:r>
          </w:p>
          <w:p w14:paraId="6D31DC9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CE8966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pasūtītājs ir paredzējis uzlādes punktu ierīkošanu ar elektrību darbināmajiem mikromobilitātes transporta līdzekļiem, pretendentam ir  jāizvērtē optimālākais risinājums un jānosaka nepieciešamo uzlādes punktu skaits, ņemot vērā plānoto pieprasījuma dinamiku.</w:t>
            </w:r>
          </w:p>
          <w:p w14:paraId="71DF99F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A2214F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788BDE6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8DF69D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 vai tai piegulošajā teritorijā paredz iesegtu, apjumtu un apgaismotu atrkritumu glabātavu, lai ēkas lietotājiem nodrošinātu pārstrādājamu materiālu šķirošanu.</w:t>
            </w:r>
          </w:p>
          <w:p w14:paraId="1DEB0F2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DB0322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Pieņēmumi, kas ir pamatā prognozēm par vajadzīgo vietu, ir balstīti metodoloģijā, kas noteikta Ministru kabineta 2017. gada 13. jūnija noteikumos Nr. 328 “Kritēriji un kārtība, kādā novērtē atkritumu dalītās savākšanas pakalpojuma pieejamību iedzīvotājiem”, Ministru kabineta 2016. gada 13. decembra noteikumos Nr. 788 “Noteikumi par atkritumu savākšanas un šķirošanas vietām”,  kā arī attiecīgās pašvaldības saistošajos noteikumos un labās prakses piemēros.</w:t>
            </w:r>
          </w:p>
          <w:p w14:paraId="4B81528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B487DC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B10 Ventilācija un gaisa kvalitāte</w:t>
            </w:r>
          </w:p>
          <w:p w14:paraId="670F237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AD0B86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Vietās, kur āra gaisa kvalitāte ir zemāka par ODA 1 kategoriju, izmantojot vismaz 2 pēdējo gadu gaisa kvalitātes monitoringa datus par gaisā suspendēto cieto daļiņu koncentrāciju (PM</w:t>
            </w:r>
            <w:r w:rsidRPr="00F90660">
              <w:rPr>
                <w:rFonts w:ascii="Times New Roman" w:eastAsia="SimSun" w:hAnsi="Times New Roman" w:cs="Times New Roman"/>
                <w:sz w:val="24"/>
                <w:szCs w:val="24"/>
                <w:vertAlign w:val="subscript"/>
              </w:rPr>
              <w:t>2.5</w:t>
            </w:r>
            <w:r w:rsidRPr="00F90660">
              <w:rPr>
                <w:rFonts w:ascii="Times New Roman" w:eastAsia="SimSun" w:hAnsi="Times New Roman" w:cs="Times New Roman"/>
                <w:sz w:val="24"/>
                <w:szCs w:val="24"/>
              </w:rPr>
              <w:t xml:space="preserve"> un PM</w:t>
            </w:r>
            <w:r w:rsidRPr="00F90660">
              <w:rPr>
                <w:rFonts w:ascii="Times New Roman" w:eastAsia="SimSun" w:hAnsi="Times New Roman" w:cs="Times New Roman"/>
                <w:sz w:val="24"/>
                <w:szCs w:val="24"/>
                <w:vertAlign w:val="subscript"/>
              </w:rPr>
              <w:t>10</w:t>
            </w:r>
            <w:r w:rsidRPr="00F90660">
              <w:rPr>
                <w:rFonts w:ascii="Times New Roman" w:eastAsia="SimSun" w:hAnsi="Times New Roman" w:cs="Times New Roman"/>
                <w:sz w:val="24"/>
                <w:szCs w:val="24"/>
              </w:rPr>
              <w:t>) no objektam tuvākās gaisa kvalitātes monitoringa stacijas, pasūtītājs norāda ODA kategoriju āra gaisam, atbilstoši harmonizētajā standartā LVS EN 16798-3:2018/NA:2020 „Ēku energoefektivitāte. Ēku ventilācija. 3. daļa: Nedzīvojamās ēkas. Veiktspējas prasības ventilācijas un telpu kondicionēšanas sistēmām (M5-1 un M5-4 moduļi). Nacionālais pielikums” dotajai metodoloģijai.</w:t>
            </w:r>
          </w:p>
          <w:p w14:paraId="443FA41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88690D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Projektēšanas uzdevumā pasūtītājs norāda telpā piegādājamā gaisa kvalitātes kategoriju SUP telpu grupām, atbilstoši to funkcijām, saskaņā ar minētajā standartā noteikto principu. Ja telpām nav īpašas prasības, SUP kategoriju ieteicams izvēlēties atbilstoši Eurovent, 2017 rekomendācijām 4/23.</w:t>
            </w:r>
          </w:p>
          <w:p w14:paraId="3D6F98C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D4573E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B11 Izbūves un apdares materiālu izvēle</w:t>
            </w:r>
          </w:p>
          <w:p w14:paraId="6C7CE5D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E8A89D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 ēkas izbūvei un apdarei izvēlētie materiāli atbilst zemāk norādītajiem emisiju limitiem. Šī prasība attiecas uz:</w:t>
            </w:r>
          </w:p>
          <w:p w14:paraId="73D6555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093F35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griestu plātnēm;</w:t>
            </w:r>
          </w:p>
          <w:p w14:paraId="46EA640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krāsām un lakām;</w:t>
            </w:r>
          </w:p>
          <w:p w14:paraId="290C7F8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grīdas un sienu tekstilsegumiem;</w:t>
            </w:r>
          </w:p>
          <w:p w14:paraId="5F85C75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laminātu un elastīgo grīdas segumu;</w:t>
            </w:r>
          </w:p>
          <w:p w14:paraId="2A3E531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5) koka un kompozītmateriāla grīdas segumu.</w:t>
            </w:r>
          </w:p>
          <w:p w14:paraId="340763F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A91D75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Materiālu un apdares materiālu emisiju limiti (μg/m</w:t>
            </w:r>
            <w:r w:rsidRPr="00F90660">
              <w:rPr>
                <w:rFonts w:ascii="Times New Roman" w:eastAsia="SimSun" w:hAnsi="Times New Roman" w:cs="Times New Roman"/>
                <w:sz w:val="24"/>
                <w:szCs w:val="24"/>
                <w:vertAlign w:val="superscript"/>
              </w:rPr>
              <w:t>3</w:t>
            </w:r>
            <w:r w:rsidRPr="00F90660">
              <w:rPr>
                <w:rFonts w:ascii="Times New Roman" w:eastAsia="SimSun" w:hAnsi="Times New Roman" w:cs="Times New Roman"/>
                <w:sz w:val="24"/>
                <w:szCs w:val="24"/>
              </w:rPr>
              <w:t>).</w:t>
            </w:r>
          </w:p>
          <w:p w14:paraId="67FDEBD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4D271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I. Kopējie gaistošie organiskie savienojumi </w:t>
            </w:r>
          </w:p>
          <w:p w14:paraId="11E0851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&lt; 300 μg/m</w:t>
            </w:r>
            <w:r w:rsidRPr="00F90660">
              <w:rPr>
                <w:rFonts w:ascii="Times New Roman" w:eastAsia="SimSun" w:hAnsi="Times New Roman" w:cs="Times New Roman"/>
                <w:sz w:val="24"/>
                <w:szCs w:val="24"/>
                <w:vertAlign w:val="superscript"/>
              </w:rPr>
              <w:t>3</w:t>
            </w:r>
            <w:r w:rsidRPr="00F90660">
              <w:rPr>
                <w:rFonts w:ascii="Times New Roman" w:eastAsia="SimSun" w:hAnsi="Times New Roman" w:cs="Times New Roman"/>
                <w:sz w:val="24"/>
                <w:szCs w:val="24"/>
              </w:rPr>
              <w:t xml:space="preserve"> 28 dienas pēc iebūves / ieklāšanas</w:t>
            </w:r>
          </w:p>
          <w:p w14:paraId="6D5F0CA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276986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II. Formaldehīds</w:t>
            </w:r>
          </w:p>
          <w:p w14:paraId="4AC1609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-&lt; 30 μg/m</w:t>
            </w:r>
            <w:r w:rsidRPr="00F90660">
              <w:rPr>
                <w:rFonts w:ascii="Times New Roman" w:eastAsia="SimSun" w:hAnsi="Times New Roman" w:cs="Times New Roman"/>
                <w:sz w:val="24"/>
                <w:szCs w:val="24"/>
                <w:vertAlign w:val="superscript"/>
              </w:rPr>
              <w:t>3</w:t>
            </w:r>
          </w:p>
          <w:p w14:paraId="77A34B1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E854B3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6AA4238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5F3A6A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Būvniecībā paredzēti un izmantoti atgūtie materiāli vai komponentes.</w:t>
            </w:r>
          </w:p>
          <w:p w14:paraId="5F4CCF0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0AFE7A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nosaka konkrētu materiālu(-s) un / vai būves elementu(-s), kura(-u) sastāvā jāparedz atkārtoti izmantots(-i) un / vai viegli pārstrādājams(-i) materiāls(-i) vai komponente(-s). </w:t>
            </w:r>
          </w:p>
          <w:p w14:paraId="1757123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26391D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Pasūtītājs var noteikt prasības attiecībā uz minēto elementu un / vai komponenšu īpatsvaru būvē vai konstrukcijā. </w:t>
            </w:r>
          </w:p>
          <w:p w14:paraId="40DDC8B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76A848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Prasību var attiecināt uz jebkuru komponenti vai konstrukciju. Piemēram: </w:t>
            </w:r>
          </w:p>
          <w:p w14:paraId="6C6C052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nesošajās konstrukcijās</w:t>
            </w:r>
          </w:p>
          <w:p w14:paraId="070F045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ārējās norobežojošās konstrukcijas vai to elementi</w:t>
            </w:r>
          </w:p>
          <w:p w14:paraId="6626164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grīdas segumi</w:t>
            </w:r>
          </w:p>
          <w:p w14:paraId="5E30B29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apdares materiāli</w:t>
            </w:r>
          </w:p>
          <w:p w14:paraId="0D40828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sienu un / vai griestu paneļi</w:t>
            </w:r>
          </w:p>
          <w:p w14:paraId="7EDB706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 u.tml. </w:t>
            </w:r>
          </w:p>
          <w:p w14:paraId="4374A5BE"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74352CE3"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4A560BD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212468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A1 Būvprojekta vadītāja vai izstrādātāja pieredze</w:t>
            </w:r>
          </w:p>
          <w:p w14:paraId="72294F3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5D0A91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20F4263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16B92D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 xml:space="preserve">Pierādījumi: </w:t>
            </w:r>
          </w:p>
          <w:p w14:paraId="26ECB05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61361E4C"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3D9D2B11"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3707F42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72E676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 Primārās enerģijas patēriņa novērtējums un primārās neatjaunojamās enerģijas maksimālais slieksnis</w:t>
            </w:r>
          </w:p>
          <w:p w14:paraId="5A413E6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403851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Tehniskā projekta izstrādes posmā pasūtītājs vai pasūtītāja pilnvarotais pārstāvis pārliecinās, ka aprēķins ēkas pagaidu energosertifikātā, kas izstrādāts atbilstoši Ministru kabineta 2021. gada 8. aprīļa noteikumiem Nr. 222 "Ēku energoefektivitātes aprēķina metodes un ēku energosertifikācijas noteikumi", atbilst iepirkuma tehniskai specifikācijai. </w:t>
            </w:r>
          </w:p>
          <w:p w14:paraId="661528A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4C681F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Pēc būvdarbu vai pārbūves darbu pabeigšanas pasūtītājs uzdod ēkas apsaimniekotājam veikt pastāvīgu enerģijas patēriņa monitoringu un 3 (trīs) gadus pēc būvdarbu pabeigšanas un ekspluatācijas uzsākšanas pasūtīt ēkas energosertificēšanu.</w:t>
            </w:r>
          </w:p>
          <w:p w14:paraId="5E73AF2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713324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B6 Atkārtoti izmantojamu vai pārstrādājamu atkritumu uzglabāšana</w:t>
            </w:r>
          </w:p>
          <w:p w14:paraId="567C8FB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3A2CCC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Pretendentam jāsagatavo ēkas un / vai teritorijas plānus, kuros ir norādīta vieta vai vietas atkritumu šķirošanai un savākšanai, kā arī pieņēmumi, kas ir pamatā prognozēm par vajadzīgo vietu un infrastruktūru.</w:t>
            </w:r>
          </w:p>
          <w:p w14:paraId="1796D1F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001211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B10 Ventilācija un gaisa kvalitāte</w:t>
            </w:r>
          </w:p>
          <w:p w14:paraId="165EF94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48CBED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Projektētāja atbildība ir izvēlēties piemērotas kategorijas filtrus ventilācijas iekārtās, lai nodrošinātu pasūtītāja definēto pieplūdes </w:t>
            </w:r>
            <w:r w:rsidRPr="00F90660">
              <w:rPr>
                <w:rFonts w:ascii="Times New Roman" w:eastAsia="SimSun" w:hAnsi="Times New Roman" w:cs="Times New Roman"/>
                <w:sz w:val="24"/>
                <w:szCs w:val="24"/>
              </w:rPr>
              <w:lastRenderedPageBreak/>
              <w:t>gaisa  SUP kategoriju pie attiecīgās atrašanās vietas āra gaisa ODA kategorijas.</w:t>
            </w:r>
          </w:p>
          <w:p w14:paraId="368195C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45C713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Pasūtītājs nosaka, ka ēkas apsaimniekotāja pienākums ir nodrošināt regulāras ventilācijas sistēmas apkopes (tai skaitā filtru nomaiņu), lai telpās nodrošinātu attiecīgo gaisa kvalitāti.</w:t>
            </w:r>
          </w:p>
          <w:p w14:paraId="097087C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D16931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B11 Izbūves un apdares materiālu izvēle</w:t>
            </w:r>
          </w:p>
          <w:p w14:paraId="2616E95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801DF8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Projektētājam jādefinē izbūves un apdares materiāli, kas nodrošinās atbilstību tehniskajā specifikācijā šim kritērijam noteiktajām maksimāli pieļaujamajām gaistošo organisko savienojumu un formaldehīda satura normām. Tāpat būs jānodrošina produkta vides deklarācijas (PVD) saskaņā ar harmonizēto standartu LVS ISO 21930 “Ēku un inženierbūvju ilgtspējība. Pamatnoteikumi būvizstrādājumu un būvniecības pakalpojumu vides deklarācijām” visiem izvēlētajiem izbūves un apdares materiāliem, kas atradīsies tiešā saskarē ar telpas lietotājiem, tai skaitā: </w:t>
            </w:r>
          </w:p>
          <w:p w14:paraId="5AEA329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5A382D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griestu plātnēm;</w:t>
            </w:r>
          </w:p>
          <w:p w14:paraId="4CDECCC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krāsām un lakām;</w:t>
            </w:r>
          </w:p>
          <w:p w14:paraId="1A63500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grīdas un sienu tekstilsegumiem;</w:t>
            </w:r>
          </w:p>
          <w:p w14:paraId="6F02E76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laminātu un elastīgo grīdas segumiem;</w:t>
            </w:r>
          </w:p>
          <w:p w14:paraId="5D751F3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5) koka un kompozītmateriāla grīdas segumiem.</w:t>
            </w:r>
          </w:p>
          <w:p w14:paraId="713C042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67857B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B21 Atkārtoti izmantotu materiālu vai viegli pārstrādājamu materiālu izmantošana</w:t>
            </w:r>
          </w:p>
          <w:p w14:paraId="71C8B6C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C19DBB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Projektētājs specificē izmantojamo materiālu un / vai būves elementu, tā atkārtoti izmantotās komponentes apjomu. </w:t>
            </w:r>
          </w:p>
          <w:p w14:paraId="470E140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2224A2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Būvuzņēmējs apliecina atkārtoti izmantotā vai viegli pārstrādājama materiāla izmantošanu, iesniedzot produkta vides deklarāciju (saskaņā ar standartu EN ISO 14025:2010 Vides marķējumi un </w:t>
            </w:r>
            <w:r w:rsidRPr="00F90660">
              <w:rPr>
                <w:rFonts w:ascii="Times New Roman" w:eastAsia="SimSun" w:hAnsi="Times New Roman" w:cs="Times New Roman"/>
                <w:sz w:val="24"/>
                <w:szCs w:val="24"/>
              </w:rPr>
              <w:lastRenderedPageBreak/>
              <w:t>deklarācijas. Trešā tipa vides deklarācijas. Principi un procedūras (ISO 14025:2006) )</w:t>
            </w:r>
          </w:p>
          <w:p w14:paraId="78826658"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518A07B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756B77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2B254C40"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4C9551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0AD1BBF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23950584"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50EAF25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605FCB3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560323F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1879CA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Būvdarbu vadītājam ir pieredze norādītajās jomās, par kuru tas atbilstoši līgumam būs atbildīgs (izvēlēties attiecīgo konkrētam līgumam):</w:t>
            </w:r>
          </w:p>
          <w:p w14:paraId="5A91E8BE"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A9AA9B3"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pieredze energoefektīvu ēkas norobežojošo konstrukciju un ietaišu būvdarbos jaunbūvju un/vai ēku atjaunošanas projektos (atzīmēt atbilstošo), tostarp dati (ja pieejami) par pabeigtu projektu izmērīto energopatēriņu uz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kas ietver apsildi, dzesēšanu, apgaismojumu, ūdens uzsildīšanu un palīgaprīkojumu;</w:t>
            </w:r>
          </w:p>
          <w:p w14:paraId="0A6D085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3E633B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pieredze ēku energomonitoringa sistēmu (BEMS) vai ekvivalentu sistēmu uzstādīšanā, ēkas apsaimniekotāju informēšanā par to, kā tās izmantot;</w:t>
            </w:r>
          </w:p>
          <w:p w14:paraId="015BF21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F623B2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3) pieredze ūdens patēriņa ziņā efektīvu sistēmu uzstādīšanā, tostarp dati (ja pieejami) par pabeigtu projektu izmērīto ūdens patēriņu uz darbinieku;</w:t>
            </w:r>
          </w:p>
          <w:p w14:paraId="36855F1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59D61E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pieredze nojaukšanas un būvlaukuma atkritumu apsaimniekošanas plānu sekmīgā īstenošanā, maksimāli samazinot atkritumu apjomu, t.sk. arīzināšanas un pieredze nodrošinot atkritumu apstrādes iespējas ārpus būvlaukuma.</w:t>
            </w:r>
          </w:p>
          <w:p w14:paraId="71C09F8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5B4A6A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Attiecināmo prasību precizē, atkarībā no ēkas funkcijas/-ām un funkcionalitātes ēkā.</w:t>
            </w:r>
          </w:p>
          <w:p w14:paraId="7E6A3FE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D21E4E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Pierādījumi: 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285701B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CEA22E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2D4A963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171BE0F"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32D5C858"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2701580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799B759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5BFAE24B"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2C8392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16465CB3"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45F015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6BC336E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p w14:paraId="3B1F1783"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2F5E9E65"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4E73A3F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45655BC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5C7F75A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20D0772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Visiem kokmateriāliem vai koka izstrādājumiem, kas paredzēti iebūvei ēkā vai labiekārtojumos, jābūt iegūtiem no ilgtspējīgi apsaimniekotiem mežiem.</w:t>
            </w:r>
          </w:p>
          <w:p w14:paraId="78771E6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CD73BF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Kritērijs attiecas uz iebūvējamo kokmateriālu un koksnes produktiem. Neattiecas uz </w:t>
            </w:r>
            <w:r w:rsidRPr="00F90660">
              <w:rPr>
                <w:rFonts w:ascii="Times New Roman" w:eastAsia="SimSun" w:hAnsi="Times New Roman" w:cs="Times New Roman"/>
                <w:i/>
                <w:iCs/>
                <w:sz w:val="24"/>
                <w:szCs w:val="24"/>
              </w:rPr>
              <w:t>tehnisko koksni</w:t>
            </w:r>
            <w:r w:rsidRPr="00F90660">
              <w:rPr>
                <w:rFonts w:ascii="Times New Roman" w:eastAsia="SimSun" w:hAnsi="Times New Roman" w:cs="Times New Roman"/>
                <w:sz w:val="24"/>
                <w:szCs w:val="24"/>
              </w:rPr>
              <w:t xml:space="preserve"> – materiāls izmantots pagaidu konstrukcijās, tai skaitā, piemēram, veidņiem, drošības nožogojumam, barjerām būvniecības laikā u.tml.  </w:t>
            </w:r>
          </w:p>
          <w:p w14:paraId="3823B8F6"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D7B8D7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Kritēriju nepiemēro projektēšanas ZPI, ja projektēšanas pakalpojums tiek iepirkts atsevišķi no būvdarbiem.</w:t>
            </w:r>
          </w:p>
          <w:p w14:paraId="17EF98E7"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DC99B00"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1A4C3AF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97F327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1FC0723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4EAD0F2"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39106AC6"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5BEF514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070EAAD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 Likumīgas izcelsmes kokmateriāli</w:t>
            </w:r>
          </w:p>
          <w:p w14:paraId="58BC2EC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65C599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FSC vai PFSC sertifikāts kokmteriāliem un / vai koka izstrādājumiem vai līdzvērtīgs notificētas iestādes apliecinājums par kokmateriālu un koksnes produktu atbilstību Eiropas Parlamenta un Padomes Regulas (ES) Nr. 995/2010 ( 2010. gada 20. oktobris ), ar ko nosaka pienākumus tirgus dalībniekiem, kas laiž tirgū kokmateriālus un koka izstrādājumus prasībām.</w:t>
            </w:r>
          </w:p>
          <w:p w14:paraId="5FE6F8D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AE5F06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C3 Atkritumu apsaimniekošana būvobjektā </w:t>
            </w:r>
          </w:p>
          <w:p w14:paraId="2245840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FE5DE3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Atkritumi, kas rodas pārbūves darbos, izņemot nojaukšanas atkritumus, nepārsniedz 11 t uz 100 m</w:t>
            </w:r>
            <w:r w:rsidRPr="00F90660">
              <w:rPr>
                <w:rFonts w:ascii="Times New Roman" w:eastAsia="SimSun" w:hAnsi="Times New Roman" w:cs="Times New Roman"/>
                <w:sz w:val="24"/>
                <w:szCs w:val="24"/>
                <w:vertAlign w:val="superscript"/>
              </w:rPr>
              <w:t>2</w:t>
            </w:r>
            <w:r w:rsidRPr="00F90660">
              <w:rPr>
                <w:rFonts w:ascii="Times New Roman" w:eastAsia="SimSun" w:hAnsi="Times New Roman" w:cs="Times New Roman"/>
                <w:sz w:val="24"/>
                <w:szCs w:val="24"/>
              </w:rPr>
              <w:t xml:space="preserve"> no biroja iekštelpu bruto platības.</w:t>
            </w:r>
          </w:p>
          <w:p w14:paraId="108C067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6E07BB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C22 Izbūves un apdares materiālu ietekme uz iekštelpu gaisa kvalitāti</w:t>
            </w:r>
          </w:p>
          <w:p w14:paraId="4CF7D53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ABB1A0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4 nedēļas pēc apdares darbu pabeigšanas būvuzņēmējs veic mērījumus telpās atbilstoši EN ISO 16000-6 un 16000-3, lai konstatētu kopējo gaistošo organisko savienojumu un formaldehīdu saturu iekštelpu gaisā.</w:t>
            </w:r>
          </w:p>
          <w:p w14:paraId="56E2A58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Ja uzmērīto gaistošo organisko savienojumu un formaldehīdu saturs iekštelpu gaisā pārsniedz B11 kritērijam izvirzītās prasības, ZPI prasības nav izpildītas un ēka neatbilst ZPI nosacījumiem.</w:t>
            </w:r>
          </w:p>
          <w:p w14:paraId="4FF63411"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338573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Kritēriju nepiemēro projektēšanas ZPI, ja projektēšanas pakalpojums tiek iepirkts atsevišķi no būvdarbiem.</w:t>
            </w:r>
          </w:p>
          <w:p w14:paraId="1376365E"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45DCF15D"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82468E8"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b/>
          <w:bCs/>
          <w:sz w:val="24"/>
          <w:szCs w:val="24"/>
        </w:rPr>
        <w:t>8.8. ēku nojaukšana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2D2C5E34"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37D96A3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ACD9DD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2C2745B9"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1A26AD5C"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priekšmets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58D56C4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Ēkas(-u) nojaukšana</w:t>
            </w:r>
          </w:p>
          <w:p w14:paraId="0EA8A390"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69779C4"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79AA84DF"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1DB867D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 ZPI prasības un kritēriji būvdarbiem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5B53EAC6"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467423EE"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70933B3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6A138DBD"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3D628B8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Kvalifikācijas prasības</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088F1BC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75294614"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4B727496"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Būvdarbu vadītājam ir pieredze nojaukšanas un būvlaukuma atkritumu apsaimniekošanas plānu sekmīgā īstenošanā, maksimāli samazinot atkritumu apjomu, t.sk. arī zināšanas un pieredze nodrošinot atkritumu apstrādes iespējas ārpus būvlaukuma.</w:t>
            </w:r>
          </w:p>
          <w:p w14:paraId="00EF7A22"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7E2D237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Pierādījumi: informācija un atsauksmes, par attiecīgiem līgumiem iepriekšējo 5 gadu laikā, kas ietvēruši pasūtītāja norādīto darbu īstenošanu un datus par rezultātu mērījumiem. Piegādātājs pievieno to speciālistu CV, kuri strādās pie projekta, kā arī apliecinājumu, ka speciālists veicis profesionālu pilnveidošanos attiecīgajās jomās.</w:t>
            </w:r>
          </w:p>
          <w:p w14:paraId="24B5B5FE"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bl>
    <w:p w14:paraId="0B317BE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46B2A82"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D. ZPI prasības un kritēriji likvidēšanas, nojaukšanas un būvlaukuma sagatavošanas darbiem</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1658"/>
        <w:gridCol w:w="6632"/>
      </w:tblGrid>
      <w:tr w:rsidR="00F90660" w:rsidRPr="00F90660" w14:paraId="515A3787" w14:textId="77777777" w:rsidTr="001B4D41">
        <w:trPr>
          <w:tblHeader/>
        </w:trPr>
        <w:tc>
          <w:tcPr>
            <w:tcW w:w="1000" w:type="pct"/>
            <w:tcBorders>
              <w:top w:val="outset" w:sz="6" w:space="0" w:color="414142"/>
              <w:left w:val="outset" w:sz="6" w:space="0" w:color="414142"/>
              <w:bottom w:val="outset" w:sz="6" w:space="0" w:color="414142"/>
              <w:right w:val="outset" w:sz="6" w:space="0" w:color="414142"/>
            </w:tcBorders>
            <w:shd w:val="clear" w:color="auto" w:fill="BFBFBF"/>
            <w:hideMark/>
          </w:tcPr>
          <w:p w14:paraId="1E4A6BA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dokumentu sastāvdaļas</w:t>
            </w:r>
          </w:p>
        </w:tc>
        <w:tc>
          <w:tcPr>
            <w:tcW w:w="4000" w:type="pct"/>
            <w:tcBorders>
              <w:top w:val="outset" w:sz="6" w:space="0" w:color="414142"/>
              <w:left w:val="outset" w:sz="6" w:space="0" w:color="414142"/>
              <w:bottom w:val="outset" w:sz="6" w:space="0" w:color="414142"/>
              <w:right w:val="outset" w:sz="6" w:space="0" w:color="414142"/>
            </w:tcBorders>
            <w:shd w:val="clear" w:color="auto" w:fill="BFBFBF"/>
            <w:hideMark/>
          </w:tcPr>
          <w:p w14:paraId="2811E3BB"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ZPI prasības</w:t>
            </w:r>
          </w:p>
        </w:tc>
      </w:tr>
      <w:tr w:rsidR="00F90660" w:rsidRPr="00F90660" w14:paraId="4D2EB5A9"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hideMark/>
          </w:tcPr>
          <w:p w14:paraId="0D11118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Tehniskā specifikācija</w:t>
            </w:r>
          </w:p>
        </w:tc>
        <w:tc>
          <w:tcPr>
            <w:tcW w:w="4000" w:type="pct"/>
            <w:tcBorders>
              <w:top w:val="outset" w:sz="6" w:space="0" w:color="414142"/>
              <w:left w:val="outset" w:sz="6" w:space="0" w:color="414142"/>
              <w:bottom w:val="outset" w:sz="6" w:space="0" w:color="414142"/>
              <w:right w:val="outset" w:sz="6" w:space="0" w:color="414142"/>
            </w:tcBorders>
            <w:shd w:val="clear" w:color="auto" w:fill="FFFFFF"/>
            <w:hideMark/>
          </w:tcPr>
          <w:p w14:paraId="62DA5FE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D1 Būvgružu (tai skaitā demontēšanas) šķirošana un nodošana speciālos poligonos</w:t>
            </w:r>
          </w:p>
          <w:p w14:paraId="6E9EF8E9"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63BFFF7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Vismaz 55 procenti (masas procenti) nebīstamo atkritumu, ko saražo nojaukšanas un demontēšanas darbos, izņemot rakšanu un aizbēršanu, sagatavo atkārtotai izmantošanai, pārstrādei un citiem materiālu atgūšanas veidiem, t.sk.:</w:t>
            </w:r>
          </w:p>
          <w:p w14:paraId="57B8B67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1) kokmateriāli, stikla, metāla, ķieģeļu, akmens, keramikas un betona materiāli, ko atgūst no ēkas galvenajām konstrukcijām;</w:t>
            </w:r>
          </w:p>
          <w:p w14:paraId="643D20E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2) izbūves elementi un nenesošie elementi, tostarp durvis un to rāmji, grīdas segums, griestu plātnes, ģipša paneļi, plastmasas profili, izolācijas materiāli, logu rāmji, logu stikls, ķieģeļi, betona bloki un gatavelementi, tērauda stiegras.</w:t>
            </w:r>
          </w:p>
          <w:p w14:paraId="18248C7F" w14:textId="77777777" w:rsidR="00F90660" w:rsidRPr="00F90660" w:rsidRDefault="00F90660" w:rsidP="00F90660">
            <w:pPr>
              <w:spacing w:after="120" w:line="264" w:lineRule="auto"/>
              <w:jc w:val="both"/>
              <w:rPr>
                <w:rFonts w:ascii="Times New Roman" w:eastAsia="SimSun" w:hAnsi="Times New Roman" w:cs="Times New Roman"/>
                <w:sz w:val="24"/>
                <w:szCs w:val="24"/>
              </w:rPr>
            </w:pPr>
          </w:p>
        </w:tc>
      </w:tr>
      <w:tr w:rsidR="00F90660" w:rsidRPr="00F90660" w14:paraId="2A5D8B18"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13FBDFDA"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Piedāvājuma izvērtēšanas kritēriji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40C75E4D"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C4 Būvdarbu vadītāja pieredze</w:t>
            </w:r>
          </w:p>
          <w:p w14:paraId="3B797AFA"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E6F9BD7"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Piedāvājumā norādītais būvspeciālists ir zinošs un tam ir pieredze jomā, kurā pasūtītājs prasījis apliecināt pieredzi, un par kuru tas būs atbildīgs līguma izpildes gaitā.</w:t>
            </w:r>
          </w:p>
          <w:p w14:paraId="5ABA6AD5"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3CA1648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 xml:space="preserve">Pierādījumi: </w:t>
            </w:r>
          </w:p>
          <w:p w14:paraId="1699EE74"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Informācija un atsauksmes, par attiecīgiem līgumiem iepriekšējo 5 gadu laikā, kas ietvēruši pasūtītāja norādīto darbu īstenošanu un datus par rezultātu mērījumiem. Piegādātājs pievieno to speciālistu CV, kuri strādās pie projekta, kā arī apliecinājumu, ka speciālists veicis profesionālu pilnveidošanos attiecīgajās jomās.</w:t>
            </w:r>
          </w:p>
        </w:tc>
      </w:tr>
      <w:tr w:rsidR="00F90660" w:rsidRPr="00F90660" w14:paraId="63EAC998" w14:textId="77777777" w:rsidTr="001B4D41">
        <w:tc>
          <w:tcPr>
            <w:tcW w:w="1000" w:type="pct"/>
            <w:tcBorders>
              <w:top w:val="outset" w:sz="6" w:space="0" w:color="414142"/>
              <w:left w:val="outset" w:sz="6" w:space="0" w:color="414142"/>
              <w:bottom w:val="outset" w:sz="6" w:space="0" w:color="414142"/>
              <w:right w:val="outset" w:sz="6" w:space="0" w:color="414142"/>
            </w:tcBorders>
            <w:shd w:val="clear" w:color="auto" w:fill="FFFFFF"/>
          </w:tcPr>
          <w:p w14:paraId="61ADDEF9"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Iepirkuma līguma izpildes noteikumi</w:t>
            </w:r>
          </w:p>
        </w:tc>
        <w:tc>
          <w:tcPr>
            <w:tcW w:w="4000" w:type="pct"/>
            <w:tcBorders>
              <w:top w:val="outset" w:sz="6" w:space="0" w:color="414142"/>
              <w:left w:val="outset" w:sz="6" w:space="0" w:color="414142"/>
              <w:bottom w:val="outset" w:sz="6" w:space="0" w:color="414142"/>
              <w:right w:val="outset" w:sz="6" w:space="0" w:color="414142"/>
            </w:tcBorders>
            <w:shd w:val="clear" w:color="auto" w:fill="FFFFFF"/>
          </w:tcPr>
          <w:p w14:paraId="664FECB1"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D1 Būvgružu (tai skaitā demontēšanas) šķirošana un nodošana speciālos poligonos</w:t>
            </w:r>
          </w:p>
          <w:p w14:paraId="23383445"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Piegādātājs iesniedz pirms nojaukšanas/ pirms demontēšanas audita ziņojumu, kas ietver informāciju par plānoto nebīstamo atkritumu apjomu un veidu.</w:t>
            </w:r>
          </w:p>
          <w:p w14:paraId="3E39F91C"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511669EF" w14:textId="77777777"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t>Tiek izmantota sistēma, kas nodrošina radušos atkritumu monitoringu un uzskaiti. Izmantojot pavadzīmes un faktūrrēķinus, tiek sekots līdzi tam, kur nonāk atkritumu sūtījumi un tādu materiālu sūtījumi, kas vairs nav uzskatāmi par atkritumiem. Monitoringa datus iesniedz pasūtītājam.</w:t>
            </w:r>
          </w:p>
        </w:tc>
      </w:tr>
    </w:tbl>
    <w:p w14:paraId="4144A8E8" w14:textId="77777777" w:rsidR="00F90660" w:rsidRPr="00F90660" w:rsidRDefault="00F90660" w:rsidP="00F90660">
      <w:pPr>
        <w:spacing w:after="120" w:line="264" w:lineRule="auto"/>
        <w:jc w:val="both"/>
        <w:rPr>
          <w:rFonts w:ascii="Times New Roman" w:eastAsia="SimSun" w:hAnsi="Times New Roman" w:cs="Times New Roman"/>
          <w:sz w:val="24"/>
          <w:szCs w:val="24"/>
        </w:rPr>
      </w:pPr>
    </w:p>
    <w:p w14:paraId="02109A36" w14:textId="77777777" w:rsidR="00F90660" w:rsidRPr="00F90660" w:rsidRDefault="00F90660" w:rsidP="00F90660">
      <w:pPr>
        <w:spacing w:after="120" w:line="264" w:lineRule="auto"/>
        <w:jc w:val="both"/>
        <w:rPr>
          <w:rFonts w:ascii="Times New Roman" w:eastAsia="SimSun" w:hAnsi="Times New Roman" w:cs="Times New Roman"/>
          <w:b/>
          <w:bCs/>
          <w:sz w:val="24"/>
          <w:szCs w:val="24"/>
        </w:rPr>
      </w:pPr>
      <w:r w:rsidRPr="00F90660">
        <w:rPr>
          <w:rFonts w:ascii="Times New Roman" w:eastAsia="SimSun" w:hAnsi="Times New Roman" w:cs="Times New Roman"/>
          <w:b/>
          <w:bCs/>
          <w:sz w:val="24"/>
          <w:szCs w:val="24"/>
        </w:rPr>
        <w:t xml:space="preserve">8.9. alternatīva ZPI prasību piemērošanas kārtība </w:t>
      </w:r>
    </w:p>
    <w:p w14:paraId="51F8B97F" w14:textId="3FC8C0AD" w:rsidR="00F90660" w:rsidRPr="00F90660" w:rsidRDefault="00F90660" w:rsidP="00F90660">
      <w:pPr>
        <w:spacing w:after="120" w:line="264" w:lineRule="auto"/>
        <w:jc w:val="both"/>
        <w:rPr>
          <w:rFonts w:ascii="Times New Roman" w:eastAsia="SimSun" w:hAnsi="Times New Roman" w:cs="Times New Roman"/>
          <w:sz w:val="24"/>
          <w:szCs w:val="24"/>
        </w:rPr>
      </w:pPr>
      <w:r w:rsidRPr="00F90660">
        <w:rPr>
          <w:rFonts w:ascii="Times New Roman" w:eastAsia="SimSun" w:hAnsi="Times New Roman" w:cs="Times New Roman"/>
          <w:sz w:val="24"/>
          <w:szCs w:val="24"/>
        </w:rPr>
        <w:lastRenderedPageBreak/>
        <w:t>Pasūtītājs ir tiesīgs noteikt prasību publiskā iepirkumā sertificēt būvprojektu un ēku atbilstoši kādai no starptautiski atzītām ilgtspējas sertifikācijas sistēmām (BREEAM, LEED, DGNB u.c.). Ja sasniedzamais sertifikācijas līmenis ir noteikts vismaz 50%  apmērā no attiecīgās sertifikācijas sistēmas maksimālo prasību līmeņa un šāds rezultāts tiek sasniegts būvniecības ieceres īstenošanas rezultātā, iepirkums atbilst ZPI noteikumiem.</w:t>
      </w:r>
      <w:r w:rsidRPr="00315EC7">
        <w:rPr>
          <w:rFonts w:ascii="Times New Roman" w:eastAsia="SimSun" w:hAnsi="Times New Roman" w:cs="Times New Roman"/>
          <w:sz w:val="24"/>
          <w:szCs w:val="24"/>
        </w:rPr>
        <w:t>”</w:t>
      </w:r>
      <w:r w:rsidRPr="00F90660">
        <w:rPr>
          <w:rFonts w:ascii="Times New Roman" w:eastAsia="SimSun" w:hAnsi="Times New Roman" w:cs="Times New Roman"/>
          <w:sz w:val="24"/>
          <w:szCs w:val="24"/>
        </w:rPr>
        <w:t xml:space="preserve">   </w:t>
      </w:r>
    </w:p>
    <w:p w14:paraId="6A0B0376" w14:textId="621CE8A6" w:rsidR="00681F21" w:rsidRPr="00315EC7" w:rsidRDefault="006B485F" w:rsidP="00681F21">
      <w:pPr>
        <w:pStyle w:val="ListParagraph"/>
        <w:numPr>
          <w:ilvl w:val="0"/>
          <w:numId w:val="1"/>
        </w:numPr>
        <w:spacing w:after="120" w:line="264" w:lineRule="auto"/>
        <w:jc w:val="both"/>
        <w:rPr>
          <w:rFonts w:ascii="Times New Roman" w:eastAsia="SimSun" w:hAnsi="Times New Roman" w:cs="Times New Roman"/>
          <w:b/>
          <w:bCs/>
          <w:sz w:val="24"/>
          <w:szCs w:val="24"/>
        </w:rPr>
      </w:pPr>
      <w:r w:rsidRPr="006B485F">
        <w:rPr>
          <w:rFonts w:ascii="Times New Roman" w:eastAsia="SimSun" w:hAnsi="Times New Roman" w:cs="Times New Roman"/>
          <w:sz w:val="24"/>
          <w:szCs w:val="24"/>
          <w:lang w:eastAsia="ja-JP"/>
        </w:rPr>
        <w:t xml:space="preserve">Papildināt Noteikumu 1. pielikumu ar </w:t>
      </w:r>
      <w:r>
        <w:rPr>
          <w:rFonts w:ascii="Times New Roman" w:eastAsia="SimSun" w:hAnsi="Times New Roman" w:cs="Times New Roman"/>
          <w:sz w:val="24"/>
          <w:szCs w:val="24"/>
          <w:lang w:eastAsia="ja-JP"/>
        </w:rPr>
        <w:t>9</w:t>
      </w:r>
      <w:r w:rsidRPr="006B485F">
        <w:rPr>
          <w:rFonts w:ascii="Times New Roman" w:eastAsia="SimSun" w:hAnsi="Times New Roman" w:cs="Times New Roman"/>
          <w:sz w:val="24"/>
          <w:szCs w:val="24"/>
          <w:lang w:eastAsia="ja-JP"/>
        </w:rPr>
        <w:t>. sadaļu, izsakot to šādā redakcijā</w:t>
      </w:r>
      <w:r w:rsidR="002C0A35" w:rsidRPr="00315EC7">
        <w:rPr>
          <w:rFonts w:ascii="Times New Roman" w:eastAsia="SimSun" w:hAnsi="Times New Roman" w:cs="Times New Roman"/>
          <w:sz w:val="24"/>
          <w:szCs w:val="24"/>
          <w:lang w:eastAsia="ja-JP"/>
        </w:rPr>
        <w:t>: “</w:t>
      </w:r>
      <w:r w:rsidR="00681F21" w:rsidRPr="00315EC7">
        <w:rPr>
          <w:rFonts w:ascii="Times New Roman" w:eastAsia="SimSun" w:hAnsi="Times New Roman" w:cs="Times New Roman"/>
          <w:b/>
          <w:bCs/>
          <w:sz w:val="24"/>
          <w:szCs w:val="24"/>
        </w:rPr>
        <w:t>9. Vieglo pasažieru automobiļu un vieglā komerctransporta iegāde vai noma.</w:t>
      </w:r>
    </w:p>
    <w:p w14:paraId="4390A387"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Prasības un kritēriji attiecas uz jaunu pasažieru automobiļu un vieglā komerctransporta iegādi, iegādājoties tieši vai izmantojot līzingu, vai nomu. </w:t>
      </w:r>
    </w:p>
    <w:p w14:paraId="1EDE4DD5" w14:textId="77777777" w:rsidR="00681F21" w:rsidRPr="00681F21" w:rsidRDefault="00681F21" w:rsidP="00681F21">
      <w:pPr>
        <w:spacing w:after="120" w:line="264" w:lineRule="auto"/>
        <w:jc w:val="both"/>
        <w:rPr>
          <w:rFonts w:ascii="Times New Roman" w:eastAsia="SimSun" w:hAnsi="Times New Roman" w:cs="Times New Roman"/>
          <w:sz w:val="24"/>
          <w:szCs w:val="24"/>
        </w:rPr>
      </w:pPr>
    </w:p>
    <w:tbl>
      <w:tblPr>
        <w:tblW w:w="8392" w:type="dxa"/>
        <w:tblInd w:w="108" w:type="dxa"/>
        <w:tblCellMar>
          <w:left w:w="10" w:type="dxa"/>
          <w:right w:w="10" w:type="dxa"/>
        </w:tblCellMar>
        <w:tblLook w:val="04A0" w:firstRow="1" w:lastRow="0" w:firstColumn="1" w:lastColumn="0" w:noHBand="0" w:noVBand="1"/>
      </w:tblPr>
      <w:tblGrid>
        <w:gridCol w:w="1740"/>
        <w:gridCol w:w="6652"/>
      </w:tblGrid>
      <w:tr w:rsidR="00681F21" w:rsidRPr="00681F21" w14:paraId="14D36C4A" w14:textId="77777777" w:rsidTr="001B4D41">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15CAB69" w14:textId="77777777" w:rsidR="00681F21" w:rsidRPr="00681F21" w:rsidRDefault="00681F21" w:rsidP="00681F21">
            <w:pPr>
              <w:spacing w:after="120" w:line="264" w:lineRule="auto"/>
              <w:jc w:val="both"/>
              <w:rPr>
                <w:rFonts w:ascii="Times New Roman" w:eastAsia="SimSun" w:hAnsi="Times New Roman" w:cs="Times New Roman"/>
                <w:b/>
                <w:sz w:val="24"/>
                <w:szCs w:val="24"/>
              </w:rPr>
            </w:pPr>
            <w:r w:rsidRPr="00681F21">
              <w:rPr>
                <w:rFonts w:ascii="Times New Roman" w:eastAsia="SimSun" w:hAnsi="Times New Roman" w:cs="Times New Roman"/>
                <w:b/>
                <w:sz w:val="24"/>
                <w:szCs w:val="24"/>
              </w:rPr>
              <w:t>Iepirkuma dokumentu sastāvdaļas</w:t>
            </w:r>
          </w:p>
        </w:tc>
        <w:tc>
          <w:tcPr>
            <w:tcW w:w="6652"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6B28BC79" w14:textId="77777777" w:rsidR="00681F21" w:rsidRPr="00681F21" w:rsidRDefault="00681F21" w:rsidP="00681F21">
            <w:pPr>
              <w:spacing w:after="120" w:line="264" w:lineRule="auto"/>
              <w:jc w:val="both"/>
              <w:rPr>
                <w:rFonts w:ascii="Times New Roman" w:eastAsia="SimSun" w:hAnsi="Times New Roman" w:cs="Times New Roman"/>
                <w:b/>
                <w:sz w:val="24"/>
                <w:szCs w:val="24"/>
              </w:rPr>
            </w:pPr>
            <w:r w:rsidRPr="00681F21">
              <w:rPr>
                <w:rFonts w:ascii="Times New Roman" w:eastAsia="SimSun" w:hAnsi="Times New Roman" w:cs="Times New Roman"/>
                <w:b/>
                <w:sz w:val="24"/>
                <w:szCs w:val="24"/>
              </w:rPr>
              <w:t>ZPI prasības un kritēriji</w:t>
            </w:r>
          </w:p>
        </w:tc>
      </w:tr>
      <w:tr w:rsidR="00681F21" w:rsidRPr="00681F21" w14:paraId="2E42691D" w14:textId="77777777" w:rsidTr="001B4D41">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E0FF4"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Iepirkuma  līguma priekšmets</w:t>
            </w:r>
          </w:p>
        </w:tc>
        <w:tc>
          <w:tcPr>
            <w:tcW w:w="6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6B88B"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Bezemisiju un zemas emisijas transportlīdzekļu iepirkšana vai noma. </w:t>
            </w:r>
          </w:p>
        </w:tc>
      </w:tr>
      <w:tr w:rsidR="00681F21" w:rsidRPr="00681F21" w14:paraId="3E816564" w14:textId="77777777" w:rsidTr="001B4D41">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7555A"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Tehniskās specifikācijas</w:t>
            </w:r>
          </w:p>
        </w:tc>
        <w:tc>
          <w:tcPr>
            <w:tcW w:w="6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23E8B"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1. CO</w:t>
            </w:r>
            <w:r w:rsidRPr="00681F21">
              <w:rPr>
                <w:rFonts w:ascii="Times New Roman" w:eastAsia="SimSun" w:hAnsi="Times New Roman" w:cs="Times New Roman"/>
                <w:sz w:val="24"/>
                <w:szCs w:val="24"/>
                <w:vertAlign w:val="subscript"/>
              </w:rPr>
              <w:t xml:space="preserve">2 </w:t>
            </w:r>
            <w:r w:rsidRPr="00681F21">
              <w:rPr>
                <w:rFonts w:ascii="Times New Roman" w:eastAsia="SimSun" w:hAnsi="Times New Roman" w:cs="Times New Roman"/>
                <w:sz w:val="24"/>
                <w:szCs w:val="24"/>
              </w:rPr>
              <w:t>EMISIJAS</w:t>
            </w:r>
          </w:p>
          <w:p w14:paraId="72C61862"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Saskaņā ar transportlīdzekļu tehnisko datu lapu, transportlīdzekļu CO</w:t>
            </w:r>
            <w:r w:rsidRPr="00681F21">
              <w:rPr>
                <w:rFonts w:ascii="Times New Roman" w:eastAsia="SimSun" w:hAnsi="Times New Roman" w:cs="Times New Roman"/>
                <w:sz w:val="24"/>
                <w:szCs w:val="24"/>
                <w:vertAlign w:val="subscript"/>
              </w:rPr>
              <w:t xml:space="preserve">2 </w:t>
            </w:r>
            <w:r w:rsidRPr="00681F21">
              <w:rPr>
                <w:rFonts w:ascii="Times New Roman" w:eastAsia="SimSun" w:hAnsi="Times New Roman" w:cs="Times New Roman"/>
                <w:sz w:val="24"/>
                <w:szCs w:val="24"/>
              </w:rPr>
              <w:t xml:space="preserve">emisija nedrīkst pārsniegt šādus rādītājus (pēc WLTP mērīšanas metodes): </w:t>
            </w:r>
          </w:p>
          <w:tbl>
            <w:tblPr>
              <w:tblW w:w="4371"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05"/>
              <w:gridCol w:w="1899"/>
              <w:gridCol w:w="8"/>
            </w:tblGrid>
            <w:tr w:rsidR="00681F21" w:rsidRPr="00681F21" w14:paraId="49A37585" w14:textId="77777777" w:rsidTr="001B4D41">
              <w:trPr>
                <w:gridAfter w:val="1"/>
                <w:wAfter w:w="7" w:type="pct"/>
                <w:trHeight w:val="245"/>
              </w:trPr>
              <w:tc>
                <w:tcPr>
                  <w:tcW w:w="3301" w:type="pct"/>
                  <w:tcBorders>
                    <w:top w:val="outset" w:sz="6" w:space="0" w:color="414142"/>
                    <w:left w:val="outset" w:sz="6" w:space="0" w:color="414142"/>
                    <w:bottom w:val="outset" w:sz="6" w:space="0" w:color="414142"/>
                    <w:right w:val="outset" w:sz="6" w:space="0" w:color="414142"/>
                  </w:tcBorders>
                  <w:hideMark/>
                </w:tcPr>
                <w:p w14:paraId="34A26927" w14:textId="77777777" w:rsidR="00681F21" w:rsidRPr="00681F21" w:rsidRDefault="00681F21" w:rsidP="00681F21">
                  <w:pPr>
                    <w:spacing w:after="0" w:line="240" w:lineRule="auto"/>
                    <w:jc w:val="center"/>
                    <w:rPr>
                      <w:rFonts w:ascii="Times New Roman" w:eastAsia="Times New Roman" w:hAnsi="Times New Roman" w:cs="Times New Roman"/>
                      <w:b/>
                      <w:bCs/>
                      <w:color w:val="414142"/>
                      <w:sz w:val="24"/>
                      <w:szCs w:val="24"/>
                      <w:lang w:eastAsia="lv-LV"/>
                    </w:rPr>
                  </w:pPr>
                  <w:r w:rsidRPr="00681F21">
                    <w:rPr>
                      <w:rFonts w:ascii="Times New Roman" w:eastAsia="Times New Roman" w:hAnsi="Times New Roman" w:cs="Times New Roman"/>
                      <w:b/>
                      <w:bCs/>
                      <w:color w:val="414142"/>
                      <w:sz w:val="24"/>
                      <w:szCs w:val="24"/>
                      <w:lang w:eastAsia="lv-LV"/>
                    </w:rPr>
                    <w:t>Transportlīdzekļa tips</w:t>
                  </w:r>
                </w:p>
              </w:tc>
              <w:tc>
                <w:tcPr>
                  <w:tcW w:w="1692" w:type="pct"/>
                  <w:tcBorders>
                    <w:top w:val="outset" w:sz="6" w:space="0" w:color="414142"/>
                    <w:left w:val="outset" w:sz="6" w:space="0" w:color="414142"/>
                    <w:bottom w:val="outset" w:sz="6" w:space="0" w:color="414142"/>
                    <w:right w:val="outset" w:sz="6" w:space="0" w:color="414142"/>
                  </w:tcBorders>
                  <w:hideMark/>
                </w:tcPr>
                <w:p w14:paraId="55A8D941" w14:textId="77777777" w:rsidR="00681F21" w:rsidRPr="00681F21" w:rsidRDefault="00681F21" w:rsidP="00681F21">
                  <w:pPr>
                    <w:spacing w:after="0" w:line="240" w:lineRule="auto"/>
                    <w:jc w:val="center"/>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b/>
                      <w:bCs/>
                      <w:color w:val="414142"/>
                      <w:sz w:val="24"/>
                      <w:szCs w:val="24"/>
                      <w:lang w:eastAsia="lv-LV"/>
                    </w:rPr>
                    <w:t>CO</w:t>
                  </w:r>
                  <w:r w:rsidRPr="00681F21">
                    <w:rPr>
                      <w:rFonts w:ascii="Times New Roman" w:eastAsia="Times New Roman" w:hAnsi="Times New Roman" w:cs="Times New Roman"/>
                      <w:b/>
                      <w:bCs/>
                      <w:color w:val="414142"/>
                      <w:sz w:val="24"/>
                      <w:szCs w:val="24"/>
                      <w:vertAlign w:val="subscript"/>
                      <w:lang w:eastAsia="lv-LV"/>
                    </w:rPr>
                    <w:t>2</w:t>
                  </w:r>
                  <w:r w:rsidRPr="00681F21">
                    <w:rPr>
                      <w:rFonts w:ascii="Times New Roman" w:eastAsia="Times New Roman" w:hAnsi="Times New Roman" w:cs="Times New Roman"/>
                      <w:color w:val="414142"/>
                      <w:sz w:val="24"/>
                      <w:szCs w:val="24"/>
                      <w:lang w:eastAsia="lv-LV"/>
                    </w:rPr>
                    <w:t> (</w:t>
                  </w:r>
                  <w:r w:rsidRPr="00681F21">
                    <w:rPr>
                      <w:rFonts w:ascii="Times New Roman" w:eastAsia="Times New Roman" w:hAnsi="Times New Roman" w:cs="Times New Roman"/>
                      <w:i/>
                      <w:iCs/>
                      <w:color w:val="414142"/>
                      <w:sz w:val="24"/>
                      <w:szCs w:val="24"/>
                      <w:lang w:eastAsia="lv-LV"/>
                    </w:rPr>
                    <w:t>g/km</w:t>
                  </w:r>
                  <w:r w:rsidRPr="00681F21">
                    <w:rPr>
                      <w:rFonts w:ascii="Times New Roman" w:eastAsia="Times New Roman" w:hAnsi="Times New Roman" w:cs="Times New Roman"/>
                      <w:color w:val="414142"/>
                      <w:sz w:val="24"/>
                      <w:szCs w:val="24"/>
                      <w:lang w:eastAsia="lv-LV"/>
                    </w:rPr>
                    <w:t>)</w:t>
                  </w:r>
                </w:p>
              </w:tc>
            </w:tr>
            <w:tr w:rsidR="00681F21" w:rsidRPr="00681F21" w14:paraId="1C0A64BA" w14:textId="77777777" w:rsidTr="001B4D41">
              <w:trPr>
                <w:trHeight w:val="231"/>
              </w:trPr>
              <w:tc>
                <w:tcPr>
                  <w:tcW w:w="5000" w:type="pct"/>
                  <w:gridSpan w:val="3"/>
                  <w:tcBorders>
                    <w:top w:val="outset" w:sz="6" w:space="0" w:color="414142"/>
                    <w:left w:val="outset" w:sz="6" w:space="0" w:color="414142"/>
                    <w:bottom w:val="outset" w:sz="6" w:space="0" w:color="414142"/>
                    <w:right w:val="outset" w:sz="6" w:space="0" w:color="414142"/>
                  </w:tcBorders>
                  <w:hideMark/>
                </w:tcPr>
                <w:p w14:paraId="1EE0402B" w14:textId="77777777" w:rsidR="00681F21" w:rsidRPr="00681F21" w:rsidRDefault="00681F21" w:rsidP="00681F21">
                  <w:pPr>
                    <w:spacing w:after="0" w:line="240" w:lineRule="auto"/>
                    <w:jc w:val="center"/>
                    <w:rPr>
                      <w:rFonts w:ascii="Times New Roman" w:eastAsia="Times New Roman" w:hAnsi="Times New Roman" w:cs="Times New Roman"/>
                      <w:b/>
                      <w:bCs/>
                      <w:color w:val="414142"/>
                      <w:sz w:val="24"/>
                      <w:szCs w:val="24"/>
                      <w:lang w:eastAsia="lv-LV"/>
                    </w:rPr>
                  </w:pPr>
                  <w:r w:rsidRPr="00681F21">
                    <w:rPr>
                      <w:rFonts w:ascii="Times New Roman" w:eastAsia="Times New Roman" w:hAnsi="Times New Roman" w:cs="Times New Roman"/>
                      <w:b/>
                      <w:bCs/>
                      <w:color w:val="414142"/>
                      <w:sz w:val="24"/>
                      <w:szCs w:val="24"/>
                      <w:lang w:eastAsia="lv-LV"/>
                    </w:rPr>
                    <w:t>Vieglie pasažieru automobiļi (M1)</w:t>
                  </w:r>
                </w:p>
              </w:tc>
            </w:tr>
            <w:tr w:rsidR="00681F21" w:rsidRPr="00681F21" w14:paraId="707A2C12" w14:textId="77777777" w:rsidTr="001B4D41">
              <w:trPr>
                <w:gridAfter w:val="1"/>
                <w:wAfter w:w="7" w:type="pct"/>
                <w:trHeight w:val="245"/>
              </w:trPr>
              <w:tc>
                <w:tcPr>
                  <w:tcW w:w="3301" w:type="pct"/>
                  <w:tcBorders>
                    <w:top w:val="outset" w:sz="6" w:space="0" w:color="414142"/>
                    <w:left w:val="outset" w:sz="6" w:space="0" w:color="414142"/>
                    <w:bottom w:val="outset" w:sz="6" w:space="0" w:color="414142"/>
                    <w:right w:val="outset" w:sz="6" w:space="0" w:color="414142"/>
                  </w:tcBorders>
                  <w:hideMark/>
                </w:tcPr>
                <w:p w14:paraId="55C6E266"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Mini</w:t>
                  </w:r>
                </w:p>
              </w:tc>
              <w:tc>
                <w:tcPr>
                  <w:tcW w:w="1692" w:type="pct"/>
                  <w:tcBorders>
                    <w:top w:val="outset" w:sz="6" w:space="0" w:color="414142"/>
                    <w:left w:val="outset" w:sz="6" w:space="0" w:color="414142"/>
                    <w:bottom w:val="outset" w:sz="6" w:space="0" w:color="414142"/>
                    <w:right w:val="outset" w:sz="6" w:space="0" w:color="414142"/>
                  </w:tcBorders>
                  <w:hideMark/>
                </w:tcPr>
                <w:p w14:paraId="49E8510D"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100</w:t>
                  </w:r>
                </w:p>
              </w:tc>
            </w:tr>
            <w:tr w:rsidR="00681F21" w:rsidRPr="00681F21" w14:paraId="659636A7" w14:textId="77777777" w:rsidTr="001B4D41">
              <w:trPr>
                <w:gridAfter w:val="1"/>
                <w:wAfter w:w="7" w:type="pct"/>
                <w:trHeight w:val="231"/>
              </w:trPr>
              <w:tc>
                <w:tcPr>
                  <w:tcW w:w="3301" w:type="pct"/>
                  <w:tcBorders>
                    <w:top w:val="outset" w:sz="6" w:space="0" w:color="414142"/>
                    <w:left w:val="outset" w:sz="6" w:space="0" w:color="414142"/>
                    <w:bottom w:val="outset" w:sz="6" w:space="0" w:color="414142"/>
                    <w:right w:val="outset" w:sz="6" w:space="0" w:color="414142"/>
                  </w:tcBorders>
                  <w:hideMark/>
                </w:tcPr>
                <w:p w14:paraId="19F9B244"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Mazs, mazs apvidus</w:t>
                  </w:r>
                </w:p>
              </w:tc>
              <w:tc>
                <w:tcPr>
                  <w:tcW w:w="1692" w:type="pct"/>
                  <w:tcBorders>
                    <w:top w:val="outset" w:sz="6" w:space="0" w:color="414142"/>
                    <w:left w:val="outset" w:sz="6" w:space="0" w:color="414142"/>
                    <w:bottom w:val="outset" w:sz="6" w:space="0" w:color="414142"/>
                    <w:right w:val="outset" w:sz="6" w:space="0" w:color="414142"/>
                  </w:tcBorders>
                  <w:hideMark/>
                </w:tcPr>
                <w:p w14:paraId="1B389AC5"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120</w:t>
                  </w:r>
                </w:p>
              </w:tc>
            </w:tr>
            <w:tr w:rsidR="00681F21" w:rsidRPr="00681F21" w14:paraId="21023A3F" w14:textId="77777777" w:rsidTr="001B4D41">
              <w:trPr>
                <w:gridAfter w:val="1"/>
                <w:wAfter w:w="7" w:type="pct"/>
                <w:trHeight w:val="245"/>
              </w:trPr>
              <w:tc>
                <w:tcPr>
                  <w:tcW w:w="3301" w:type="pct"/>
                  <w:tcBorders>
                    <w:top w:val="outset" w:sz="6" w:space="0" w:color="414142"/>
                    <w:left w:val="outset" w:sz="6" w:space="0" w:color="414142"/>
                    <w:bottom w:val="outset" w:sz="6" w:space="0" w:color="414142"/>
                    <w:right w:val="outset" w:sz="6" w:space="0" w:color="414142"/>
                  </w:tcBorders>
                  <w:hideMark/>
                </w:tcPr>
                <w:p w14:paraId="4EBBA29F"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Kompakts, kompaktā apvidus</w:t>
                  </w:r>
                </w:p>
              </w:tc>
              <w:tc>
                <w:tcPr>
                  <w:tcW w:w="1692" w:type="pct"/>
                  <w:tcBorders>
                    <w:top w:val="outset" w:sz="6" w:space="0" w:color="414142"/>
                    <w:left w:val="outset" w:sz="6" w:space="0" w:color="414142"/>
                    <w:bottom w:val="outset" w:sz="6" w:space="0" w:color="414142"/>
                    <w:right w:val="outset" w:sz="6" w:space="0" w:color="414142"/>
                  </w:tcBorders>
                  <w:hideMark/>
                </w:tcPr>
                <w:p w14:paraId="0F5A9491"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135</w:t>
                  </w:r>
                </w:p>
              </w:tc>
            </w:tr>
            <w:tr w:rsidR="00681F21" w:rsidRPr="00681F21" w14:paraId="40BD8456" w14:textId="77777777" w:rsidTr="001B4D41">
              <w:trPr>
                <w:gridAfter w:val="1"/>
                <w:wAfter w:w="7" w:type="pct"/>
                <w:trHeight w:val="491"/>
              </w:trPr>
              <w:tc>
                <w:tcPr>
                  <w:tcW w:w="3301" w:type="pct"/>
                  <w:tcBorders>
                    <w:top w:val="outset" w:sz="6" w:space="0" w:color="414142"/>
                    <w:left w:val="outset" w:sz="6" w:space="0" w:color="414142"/>
                    <w:bottom w:val="outset" w:sz="6" w:space="0" w:color="414142"/>
                    <w:right w:val="outset" w:sz="6" w:space="0" w:color="414142"/>
                  </w:tcBorders>
                </w:tcPr>
                <w:p w14:paraId="6D8145DF"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mazā daudzfunkciju, kompaktā daudzfunkciju</w:t>
                  </w:r>
                </w:p>
              </w:tc>
              <w:tc>
                <w:tcPr>
                  <w:tcW w:w="1692" w:type="pct"/>
                  <w:tcBorders>
                    <w:top w:val="outset" w:sz="6" w:space="0" w:color="414142"/>
                    <w:left w:val="outset" w:sz="6" w:space="0" w:color="414142"/>
                    <w:bottom w:val="outset" w:sz="6" w:space="0" w:color="414142"/>
                    <w:right w:val="outset" w:sz="6" w:space="0" w:color="414142"/>
                  </w:tcBorders>
                </w:tcPr>
                <w:p w14:paraId="136264B1"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140</w:t>
                  </w:r>
                </w:p>
              </w:tc>
            </w:tr>
            <w:tr w:rsidR="00681F21" w:rsidRPr="00681F21" w14:paraId="4019FEF0" w14:textId="77777777" w:rsidTr="001B4D41">
              <w:trPr>
                <w:gridAfter w:val="1"/>
                <w:wAfter w:w="7" w:type="pct"/>
                <w:trHeight w:val="245"/>
              </w:trPr>
              <w:tc>
                <w:tcPr>
                  <w:tcW w:w="3301" w:type="pct"/>
                  <w:tcBorders>
                    <w:top w:val="outset" w:sz="6" w:space="0" w:color="414142"/>
                    <w:left w:val="outset" w:sz="6" w:space="0" w:color="414142"/>
                    <w:bottom w:val="outset" w:sz="6" w:space="0" w:color="414142"/>
                    <w:right w:val="outset" w:sz="6" w:space="0" w:color="414142"/>
                  </w:tcBorders>
                  <w:hideMark/>
                </w:tcPr>
                <w:p w14:paraId="418AAD43"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Vidējs</w:t>
                  </w:r>
                </w:p>
              </w:tc>
              <w:tc>
                <w:tcPr>
                  <w:tcW w:w="1692" w:type="pct"/>
                  <w:tcBorders>
                    <w:top w:val="outset" w:sz="6" w:space="0" w:color="414142"/>
                    <w:left w:val="outset" w:sz="6" w:space="0" w:color="414142"/>
                    <w:bottom w:val="outset" w:sz="6" w:space="0" w:color="414142"/>
                    <w:right w:val="outset" w:sz="6" w:space="0" w:color="414142"/>
                  </w:tcBorders>
                  <w:hideMark/>
                </w:tcPr>
                <w:p w14:paraId="0025AAE7"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145</w:t>
                  </w:r>
                </w:p>
              </w:tc>
            </w:tr>
            <w:tr w:rsidR="00681F21" w:rsidRPr="00681F21" w14:paraId="2BDBE463" w14:textId="77777777" w:rsidTr="001B4D41">
              <w:trPr>
                <w:gridAfter w:val="1"/>
                <w:wAfter w:w="7" w:type="pct"/>
                <w:trHeight w:val="231"/>
              </w:trPr>
              <w:tc>
                <w:tcPr>
                  <w:tcW w:w="3301" w:type="pct"/>
                  <w:tcBorders>
                    <w:top w:val="outset" w:sz="6" w:space="0" w:color="414142"/>
                    <w:left w:val="outset" w:sz="6" w:space="0" w:color="414142"/>
                    <w:bottom w:val="outset" w:sz="6" w:space="0" w:color="414142"/>
                    <w:right w:val="outset" w:sz="6" w:space="0" w:color="414142"/>
                  </w:tcBorders>
                </w:tcPr>
                <w:p w14:paraId="40561EAC"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vidējs daudzfunkciju</w:t>
                  </w:r>
                </w:p>
              </w:tc>
              <w:tc>
                <w:tcPr>
                  <w:tcW w:w="1692" w:type="pct"/>
                  <w:tcBorders>
                    <w:top w:val="outset" w:sz="6" w:space="0" w:color="414142"/>
                    <w:left w:val="outset" w:sz="6" w:space="0" w:color="414142"/>
                    <w:bottom w:val="outset" w:sz="6" w:space="0" w:color="414142"/>
                    <w:right w:val="outset" w:sz="6" w:space="0" w:color="414142"/>
                  </w:tcBorders>
                </w:tcPr>
                <w:p w14:paraId="42E37A69"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170</w:t>
                  </w:r>
                </w:p>
              </w:tc>
            </w:tr>
            <w:tr w:rsidR="00681F21" w:rsidRPr="00681F21" w14:paraId="651A99CA" w14:textId="77777777" w:rsidTr="001B4D41">
              <w:trPr>
                <w:gridAfter w:val="1"/>
                <w:wAfter w:w="7" w:type="pct"/>
                <w:trHeight w:val="245"/>
              </w:trPr>
              <w:tc>
                <w:tcPr>
                  <w:tcW w:w="3301" w:type="pct"/>
                  <w:tcBorders>
                    <w:top w:val="outset" w:sz="6" w:space="0" w:color="414142"/>
                    <w:left w:val="outset" w:sz="6" w:space="0" w:color="414142"/>
                    <w:bottom w:val="outset" w:sz="6" w:space="0" w:color="414142"/>
                    <w:right w:val="outset" w:sz="6" w:space="0" w:color="414142"/>
                  </w:tcBorders>
                  <w:hideMark/>
                </w:tcPr>
                <w:p w14:paraId="2DD5866E"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Liels, vidējā apvidus</w:t>
                  </w:r>
                </w:p>
              </w:tc>
              <w:tc>
                <w:tcPr>
                  <w:tcW w:w="1692" w:type="pct"/>
                  <w:tcBorders>
                    <w:top w:val="outset" w:sz="6" w:space="0" w:color="414142"/>
                    <w:left w:val="outset" w:sz="6" w:space="0" w:color="414142"/>
                    <w:bottom w:val="outset" w:sz="6" w:space="0" w:color="414142"/>
                    <w:right w:val="outset" w:sz="6" w:space="0" w:color="414142"/>
                  </w:tcBorders>
                  <w:hideMark/>
                </w:tcPr>
                <w:p w14:paraId="7392E2FB"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165</w:t>
                  </w:r>
                </w:p>
              </w:tc>
            </w:tr>
            <w:tr w:rsidR="00681F21" w:rsidRPr="00681F21" w14:paraId="62D16870" w14:textId="77777777" w:rsidTr="001B4D41">
              <w:trPr>
                <w:gridAfter w:val="1"/>
                <w:wAfter w:w="7" w:type="pct"/>
                <w:trHeight w:val="231"/>
              </w:trPr>
              <w:tc>
                <w:tcPr>
                  <w:tcW w:w="3301" w:type="pct"/>
                  <w:tcBorders>
                    <w:top w:val="outset" w:sz="6" w:space="0" w:color="414142"/>
                    <w:left w:val="outset" w:sz="6" w:space="0" w:color="414142"/>
                    <w:bottom w:val="outset" w:sz="6" w:space="0" w:color="414142"/>
                    <w:right w:val="outset" w:sz="6" w:space="0" w:color="414142"/>
                  </w:tcBorders>
                </w:tcPr>
                <w:p w14:paraId="488AB5B8"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lielā daudzfunkciju</w:t>
                  </w:r>
                </w:p>
              </w:tc>
              <w:tc>
                <w:tcPr>
                  <w:tcW w:w="1692" w:type="pct"/>
                  <w:tcBorders>
                    <w:top w:val="outset" w:sz="6" w:space="0" w:color="414142"/>
                    <w:left w:val="outset" w:sz="6" w:space="0" w:color="414142"/>
                    <w:bottom w:val="outset" w:sz="6" w:space="0" w:color="414142"/>
                    <w:right w:val="outset" w:sz="6" w:space="0" w:color="414142"/>
                  </w:tcBorders>
                </w:tcPr>
                <w:p w14:paraId="0C6A3DCC"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&gt;200</w:t>
                  </w:r>
                </w:p>
              </w:tc>
            </w:tr>
            <w:tr w:rsidR="00681F21" w:rsidRPr="00681F21" w14:paraId="01D9E3E8" w14:textId="77777777" w:rsidTr="001B4D41">
              <w:trPr>
                <w:gridAfter w:val="1"/>
                <w:wAfter w:w="7" w:type="pct"/>
                <w:trHeight w:val="245"/>
              </w:trPr>
              <w:tc>
                <w:tcPr>
                  <w:tcW w:w="3301" w:type="pct"/>
                  <w:tcBorders>
                    <w:top w:val="outset" w:sz="6" w:space="0" w:color="414142"/>
                    <w:left w:val="outset" w:sz="6" w:space="0" w:color="414142"/>
                    <w:bottom w:val="outset" w:sz="6" w:space="0" w:color="414142"/>
                    <w:right w:val="outset" w:sz="6" w:space="0" w:color="414142"/>
                  </w:tcBorders>
                  <w:hideMark/>
                </w:tcPr>
                <w:p w14:paraId="16A08CC6"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Luksus, lielā apvidus</w:t>
                  </w:r>
                </w:p>
              </w:tc>
              <w:tc>
                <w:tcPr>
                  <w:tcW w:w="1692" w:type="pct"/>
                  <w:tcBorders>
                    <w:top w:val="outset" w:sz="6" w:space="0" w:color="414142"/>
                    <w:left w:val="outset" w:sz="6" w:space="0" w:color="414142"/>
                    <w:bottom w:val="outset" w:sz="6" w:space="0" w:color="414142"/>
                    <w:right w:val="outset" w:sz="6" w:space="0" w:color="414142"/>
                  </w:tcBorders>
                  <w:hideMark/>
                </w:tcPr>
                <w:p w14:paraId="2845339D"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200</w:t>
                  </w:r>
                </w:p>
              </w:tc>
            </w:tr>
            <w:tr w:rsidR="00681F21" w:rsidRPr="00681F21" w14:paraId="35A80F8C" w14:textId="77777777" w:rsidTr="001B4D41">
              <w:trPr>
                <w:trHeight w:val="245"/>
              </w:trPr>
              <w:tc>
                <w:tcPr>
                  <w:tcW w:w="5000" w:type="pct"/>
                  <w:gridSpan w:val="3"/>
                  <w:tcBorders>
                    <w:top w:val="outset" w:sz="6" w:space="0" w:color="414142"/>
                    <w:left w:val="outset" w:sz="6" w:space="0" w:color="414142"/>
                    <w:bottom w:val="outset" w:sz="6" w:space="0" w:color="414142"/>
                    <w:right w:val="outset" w:sz="6" w:space="0" w:color="414142"/>
                  </w:tcBorders>
                  <w:hideMark/>
                </w:tcPr>
                <w:p w14:paraId="1F08F4E7" w14:textId="77777777" w:rsidR="00681F21" w:rsidRPr="00681F21" w:rsidRDefault="00681F21" w:rsidP="00681F21">
                  <w:pPr>
                    <w:spacing w:after="0" w:line="240" w:lineRule="auto"/>
                    <w:jc w:val="center"/>
                    <w:rPr>
                      <w:rFonts w:ascii="Times New Roman" w:eastAsia="Times New Roman" w:hAnsi="Times New Roman" w:cs="Times New Roman"/>
                      <w:b/>
                      <w:bCs/>
                      <w:color w:val="414142"/>
                      <w:sz w:val="24"/>
                      <w:szCs w:val="24"/>
                      <w:lang w:eastAsia="lv-LV"/>
                    </w:rPr>
                  </w:pPr>
                  <w:r w:rsidRPr="00681F21">
                    <w:rPr>
                      <w:rFonts w:ascii="Times New Roman" w:eastAsia="Times New Roman" w:hAnsi="Times New Roman" w:cs="Times New Roman"/>
                      <w:b/>
                      <w:bCs/>
                      <w:color w:val="414142"/>
                      <w:sz w:val="24"/>
                      <w:szCs w:val="24"/>
                      <w:lang w:eastAsia="lv-LV"/>
                    </w:rPr>
                    <w:t>Vieglais komerctransports (N1)</w:t>
                  </w:r>
                </w:p>
              </w:tc>
            </w:tr>
            <w:tr w:rsidR="00681F21" w:rsidRPr="00681F21" w14:paraId="55E541C5" w14:textId="77777777" w:rsidTr="001B4D41">
              <w:trPr>
                <w:gridAfter w:val="1"/>
                <w:wAfter w:w="7" w:type="pct"/>
                <w:trHeight w:val="231"/>
              </w:trPr>
              <w:tc>
                <w:tcPr>
                  <w:tcW w:w="3301" w:type="pct"/>
                  <w:tcBorders>
                    <w:top w:val="outset" w:sz="6" w:space="0" w:color="414142"/>
                    <w:left w:val="outset" w:sz="6" w:space="0" w:color="414142"/>
                    <w:bottom w:val="outset" w:sz="6" w:space="0" w:color="414142"/>
                    <w:right w:val="outset" w:sz="6" w:space="0" w:color="414142"/>
                  </w:tcBorders>
                  <w:hideMark/>
                </w:tcPr>
                <w:p w14:paraId="0B693F3C"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Pikapi</w:t>
                  </w:r>
                </w:p>
              </w:tc>
              <w:tc>
                <w:tcPr>
                  <w:tcW w:w="1692" w:type="pct"/>
                  <w:tcBorders>
                    <w:top w:val="outset" w:sz="6" w:space="0" w:color="414142"/>
                    <w:left w:val="outset" w:sz="6" w:space="0" w:color="414142"/>
                    <w:bottom w:val="outset" w:sz="6" w:space="0" w:color="414142"/>
                    <w:right w:val="outset" w:sz="6" w:space="0" w:color="414142"/>
                  </w:tcBorders>
                  <w:hideMark/>
                </w:tcPr>
                <w:p w14:paraId="5FAB9E50"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&gt;200</w:t>
                  </w:r>
                </w:p>
              </w:tc>
            </w:tr>
            <w:tr w:rsidR="00681F21" w:rsidRPr="00681F21" w14:paraId="7801414A" w14:textId="77777777" w:rsidTr="001B4D41">
              <w:trPr>
                <w:gridAfter w:val="1"/>
                <w:wAfter w:w="7" w:type="pct"/>
                <w:trHeight w:val="245"/>
              </w:trPr>
              <w:tc>
                <w:tcPr>
                  <w:tcW w:w="3301" w:type="pct"/>
                  <w:tcBorders>
                    <w:top w:val="outset" w:sz="6" w:space="0" w:color="414142"/>
                    <w:left w:val="outset" w:sz="6" w:space="0" w:color="414142"/>
                    <w:bottom w:val="outset" w:sz="6" w:space="0" w:color="414142"/>
                    <w:right w:val="outset" w:sz="6" w:space="0" w:color="414142"/>
                  </w:tcBorders>
                  <w:hideMark/>
                </w:tcPr>
                <w:p w14:paraId="5719132F"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Mazie furgoni</w:t>
                  </w:r>
                </w:p>
              </w:tc>
              <w:tc>
                <w:tcPr>
                  <w:tcW w:w="1692" w:type="pct"/>
                  <w:tcBorders>
                    <w:top w:val="outset" w:sz="6" w:space="0" w:color="414142"/>
                    <w:left w:val="outset" w:sz="6" w:space="0" w:color="414142"/>
                    <w:bottom w:val="outset" w:sz="6" w:space="0" w:color="414142"/>
                    <w:right w:val="outset" w:sz="6" w:space="0" w:color="414142"/>
                  </w:tcBorders>
                  <w:hideMark/>
                </w:tcPr>
                <w:p w14:paraId="7801CC23"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130</w:t>
                  </w:r>
                </w:p>
              </w:tc>
            </w:tr>
            <w:tr w:rsidR="00681F21" w:rsidRPr="00681F21" w14:paraId="3742BE9B" w14:textId="77777777" w:rsidTr="001B4D41">
              <w:trPr>
                <w:gridAfter w:val="1"/>
                <w:wAfter w:w="7" w:type="pct"/>
                <w:trHeight w:val="231"/>
              </w:trPr>
              <w:tc>
                <w:tcPr>
                  <w:tcW w:w="3301" w:type="pct"/>
                  <w:tcBorders>
                    <w:top w:val="outset" w:sz="6" w:space="0" w:color="414142"/>
                    <w:left w:val="outset" w:sz="6" w:space="0" w:color="414142"/>
                    <w:bottom w:val="outset" w:sz="6" w:space="0" w:color="414142"/>
                    <w:right w:val="outset" w:sz="6" w:space="0" w:color="414142"/>
                  </w:tcBorders>
                  <w:hideMark/>
                </w:tcPr>
                <w:p w14:paraId="6332A758"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Vidējie furgoni</w:t>
                  </w:r>
                </w:p>
              </w:tc>
              <w:tc>
                <w:tcPr>
                  <w:tcW w:w="1692" w:type="pct"/>
                  <w:tcBorders>
                    <w:top w:val="outset" w:sz="6" w:space="0" w:color="414142"/>
                    <w:left w:val="outset" w:sz="6" w:space="0" w:color="414142"/>
                    <w:bottom w:val="outset" w:sz="6" w:space="0" w:color="414142"/>
                    <w:right w:val="outset" w:sz="6" w:space="0" w:color="414142"/>
                  </w:tcBorders>
                  <w:hideMark/>
                </w:tcPr>
                <w:p w14:paraId="294AD7BA"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170</w:t>
                  </w:r>
                </w:p>
              </w:tc>
            </w:tr>
            <w:tr w:rsidR="00681F21" w:rsidRPr="00681F21" w14:paraId="5F393EA5" w14:textId="77777777" w:rsidTr="001B4D41">
              <w:trPr>
                <w:gridAfter w:val="1"/>
                <w:wAfter w:w="7" w:type="pct"/>
                <w:trHeight w:val="245"/>
              </w:trPr>
              <w:tc>
                <w:tcPr>
                  <w:tcW w:w="3301" w:type="pct"/>
                  <w:tcBorders>
                    <w:top w:val="outset" w:sz="6" w:space="0" w:color="414142"/>
                    <w:left w:val="outset" w:sz="6" w:space="0" w:color="414142"/>
                    <w:bottom w:val="outset" w:sz="6" w:space="0" w:color="414142"/>
                    <w:right w:val="outset" w:sz="6" w:space="0" w:color="414142"/>
                  </w:tcBorders>
                  <w:hideMark/>
                </w:tcPr>
                <w:p w14:paraId="16971774"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Lielie furgoni</w:t>
                  </w:r>
                </w:p>
              </w:tc>
              <w:tc>
                <w:tcPr>
                  <w:tcW w:w="1692" w:type="pct"/>
                  <w:tcBorders>
                    <w:top w:val="outset" w:sz="6" w:space="0" w:color="414142"/>
                    <w:left w:val="outset" w:sz="6" w:space="0" w:color="414142"/>
                    <w:bottom w:val="outset" w:sz="6" w:space="0" w:color="414142"/>
                    <w:right w:val="outset" w:sz="6" w:space="0" w:color="414142"/>
                  </w:tcBorders>
                  <w:hideMark/>
                </w:tcPr>
                <w:p w14:paraId="3D6B7A22" w14:textId="77777777" w:rsidR="00681F21" w:rsidRPr="00681F21" w:rsidRDefault="00681F21" w:rsidP="00681F21">
                  <w:pPr>
                    <w:spacing w:after="0" w:line="240" w:lineRule="auto"/>
                    <w:rPr>
                      <w:rFonts w:ascii="Times New Roman" w:eastAsia="Times New Roman" w:hAnsi="Times New Roman" w:cs="Times New Roman"/>
                      <w:color w:val="414142"/>
                      <w:sz w:val="24"/>
                      <w:szCs w:val="24"/>
                      <w:lang w:eastAsia="lv-LV"/>
                    </w:rPr>
                  </w:pPr>
                  <w:r w:rsidRPr="00681F21">
                    <w:rPr>
                      <w:rFonts w:ascii="Times New Roman" w:eastAsia="Times New Roman" w:hAnsi="Times New Roman" w:cs="Times New Roman"/>
                      <w:color w:val="414142"/>
                      <w:sz w:val="24"/>
                      <w:szCs w:val="24"/>
                      <w:lang w:eastAsia="lv-LV"/>
                    </w:rPr>
                    <w:t>&gt;200</w:t>
                  </w:r>
                </w:p>
              </w:tc>
            </w:tr>
          </w:tbl>
          <w:p w14:paraId="3225270B" w14:textId="77777777" w:rsidR="00681F21" w:rsidRPr="00681F21" w:rsidRDefault="00681F21" w:rsidP="00681F21">
            <w:pPr>
              <w:spacing w:after="120" w:line="264" w:lineRule="auto"/>
              <w:jc w:val="both"/>
              <w:rPr>
                <w:rFonts w:ascii="Times New Roman" w:eastAsia="SimSun" w:hAnsi="Times New Roman" w:cs="Times New Roman"/>
                <w:sz w:val="24"/>
                <w:szCs w:val="24"/>
              </w:rPr>
            </w:pPr>
          </w:p>
          <w:p w14:paraId="5657A870"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2. IZPLŪDES GĀZU EMISIJAS </w:t>
            </w:r>
          </w:p>
          <w:p w14:paraId="7BE5A98D"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Transportlīdzekļiem ir jāatbilst  EURO 6 atgāzu emisijas standartam saskaņā ar Eiropas Parlamenta un Padomes 2007. gada 20. jūnija Regulas (EK) Nr. 715/2007 par tipa apstiprinājumu mehāniskiem transportlīdzekļiem attiecībā uz emisijām no vieglajiem pasažieru un komerciālajiem transportlīdzekļiem (Euro 5 un Euro 6) un par piekļuvi transportlīdzekļa remonta un tehniskās apkopes informācijai I pielikuma 2. tabulā noteiktajām "Euro 6" emisijas robežvērtībām un CO</w:t>
            </w:r>
            <w:r w:rsidRPr="00681F21">
              <w:rPr>
                <w:rFonts w:ascii="Times New Roman" w:eastAsia="SimSun" w:hAnsi="Times New Roman" w:cs="Times New Roman"/>
                <w:sz w:val="24"/>
                <w:szCs w:val="24"/>
                <w:vertAlign w:val="subscript"/>
              </w:rPr>
              <w:t xml:space="preserve">2 </w:t>
            </w:r>
            <w:r w:rsidRPr="00681F21">
              <w:rPr>
                <w:rFonts w:ascii="Times New Roman" w:eastAsia="SimSun" w:hAnsi="Times New Roman" w:cs="Times New Roman"/>
                <w:sz w:val="24"/>
                <w:szCs w:val="24"/>
              </w:rPr>
              <w:t>emisijas ir saskaņā ar tehnisko datu lapu.</w:t>
            </w:r>
          </w:p>
          <w:p w14:paraId="34A67066"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3. EKOLOĢISKA BRAUKŠANA </w:t>
            </w:r>
          </w:p>
          <w:p w14:paraId="7032BB5D"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Automašīnās/furgonos ir informācija/norādījumi par ekoloģisku braukšanu, kas atbilst transportlīdzeklim. Attiecībā uz transportlīdzekļiem ar iekšdedzes motoru  transportlīdzekļa lietotāja rokasgrāmatai jāietver norādes par agrīnu pārnesumu pārslēgšanu, vienmērīga ātruma uzturēšanu, ja apgriezienu skaits minūtē ir mazs, un satiksmes plūsmas paredzēšanu. Hibrīdtransportlīdzekļu un elektrotransportlīdzekļu gadījumā jāietver informācija par reģeneratīvās bremzēšanas izmantošanu ar mērķi taupīt enerģiju. No elektrotīkla uzlādējamu hibrīdelektrisku transportlīdzekļu un tādu elektrotransportlīdzekļu gadījumā, kas aprīkoti ar attāluma palielinātājiem, jāietver konkrētas norādes par to, kā maksimāli palielināt to kilometru skaitu, kuri nobraukti, izmantojot elektrību.</w:t>
            </w:r>
          </w:p>
          <w:p w14:paraId="654AD578"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4. RIEPU SPIEDIENA KONTROLES SISTĒMAS (TPMS) </w:t>
            </w:r>
          </w:p>
          <w:p w14:paraId="02EC5203"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LCV un lieljaudas transportlīdzekļiem jābūt aprīkotiem ar riepu spiediena kontroles sistēmām, t. i., sistēmu, kas ierīkota transportlīdzekļi un var novērtēt riepu spiedienu vai tā izmaiņas laika gaitā un pārraidīt attiecīgo informāciju lietotājam transportlīdzekļa darbības laikā, vai – autobusu un atkritumu savākšanas kravas automobiļu gadījumā – sistēmām, kuras pārraida attiecīgo informāciju uz operatora atrašanās vietu.</w:t>
            </w:r>
          </w:p>
          <w:p w14:paraId="3F12E268"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5. TROKŠŅA EMISIJAS LĪMEŅI </w:t>
            </w:r>
          </w:p>
          <w:p w14:paraId="528474CB"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Trokšņa emisijas līmenim jābūt zemākam, nekā noteikts tiesību aktos. </w:t>
            </w:r>
          </w:p>
        </w:tc>
      </w:tr>
      <w:tr w:rsidR="00681F21" w:rsidRPr="00681F21" w14:paraId="772BC5FF" w14:textId="77777777" w:rsidTr="001B4D41">
        <w:trPr>
          <w:trHeight w:val="552"/>
        </w:trPr>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B7869"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lastRenderedPageBreak/>
              <w:t>Piedāvājuma izvērtēšanas kritēriji</w:t>
            </w:r>
          </w:p>
        </w:tc>
        <w:tc>
          <w:tcPr>
            <w:tcW w:w="66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707C6"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Papildu punkti tiek piešķirti par šādu kritēriju izpildi. </w:t>
            </w:r>
          </w:p>
          <w:p w14:paraId="7F21F02C"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1. ALTERNATĪVAS DEGVIELAS IZMANTOŠANA </w:t>
            </w:r>
          </w:p>
          <w:p w14:paraId="5407BF7E"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Transportlīdzekļa konstrukcija paredz alternatīvu degvielas veidu vai sistēmu izmantošanu</w:t>
            </w:r>
            <w:r w:rsidRPr="00681F21">
              <w:rPr>
                <w:rFonts w:ascii="Times New Roman" w:eastAsia="SimSun" w:hAnsi="Times New Roman" w:cs="Times New Roman"/>
                <w:sz w:val="24"/>
                <w:szCs w:val="24"/>
              </w:rPr>
              <w:br/>
            </w:r>
            <w:r w:rsidRPr="00681F21">
              <w:rPr>
                <w:rFonts w:ascii="Times New Roman" w:eastAsia="SimSun" w:hAnsi="Times New Roman" w:cs="Times New Roman"/>
                <w:sz w:val="24"/>
                <w:szCs w:val="24"/>
              </w:rPr>
              <w:lastRenderedPageBreak/>
              <w:t xml:space="preserve">(piem., biodegvielas, elektriskās, ūdeņraža vai hibrīdsistēmas, dabasgāzi). </w:t>
            </w:r>
          </w:p>
          <w:p w14:paraId="484A3A30"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Bezemisiju transportlīdzekļiem piešķir maksimālo punktu skaitu. </w:t>
            </w:r>
          </w:p>
          <w:p w14:paraId="62A70F1D"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2. ZEMĀKAS CO</w:t>
            </w:r>
            <w:r w:rsidRPr="00681F21">
              <w:rPr>
                <w:rFonts w:ascii="Times New Roman" w:eastAsia="SimSun" w:hAnsi="Times New Roman" w:cs="Times New Roman"/>
                <w:sz w:val="24"/>
                <w:szCs w:val="24"/>
                <w:vertAlign w:val="subscript"/>
              </w:rPr>
              <w:t xml:space="preserve">2 </w:t>
            </w:r>
            <w:r w:rsidRPr="00681F21">
              <w:rPr>
                <w:rFonts w:ascii="Times New Roman" w:eastAsia="SimSun" w:hAnsi="Times New Roman" w:cs="Times New Roman"/>
                <w:sz w:val="24"/>
                <w:szCs w:val="24"/>
              </w:rPr>
              <w:t>EMISIJAS</w:t>
            </w:r>
          </w:p>
          <w:p w14:paraId="3DFBB6E8"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CO</w:t>
            </w:r>
            <w:r w:rsidRPr="00681F21">
              <w:rPr>
                <w:rFonts w:ascii="Times New Roman" w:eastAsia="SimSun" w:hAnsi="Times New Roman" w:cs="Times New Roman"/>
                <w:sz w:val="24"/>
                <w:szCs w:val="24"/>
                <w:vertAlign w:val="subscript"/>
              </w:rPr>
              <w:t xml:space="preserve">2 </w:t>
            </w:r>
            <w:r w:rsidRPr="00681F21">
              <w:rPr>
                <w:rFonts w:ascii="Times New Roman" w:eastAsia="SimSun" w:hAnsi="Times New Roman" w:cs="Times New Roman"/>
                <w:sz w:val="24"/>
                <w:szCs w:val="24"/>
              </w:rPr>
              <w:t xml:space="preserve">emisijai ir jābūt mazākai par specifikācijās noteikto (1. kritērijs). </w:t>
            </w:r>
          </w:p>
          <w:p w14:paraId="7CA4C748"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3. NULLES IZPLŪDES SPĒJA</w:t>
            </w:r>
          </w:p>
          <w:p w14:paraId="587E0FAA" w14:textId="77777777" w:rsidR="00681F21" w:rsidRPr="00681F21" w:rsidRDefault="00681F21" w:rsidP="00681F21">
            <w:pPr>
              <w:spacing w:after="120" w:line="264" w:lineRule="auto"/>
              <w:jc w:val="both"/>
              <w:rPr>
                <w:rFonts w:ascii="Times New Roman" w:eastAsia="SimSun" w:hAnsi="Times New Roman" w:cs="Times New Roman"/>
                <w:sz w:val="24"/>
                <w:szCs w:val="24"/>
              </w:rPr>
            </w:pPr>
            <w:r w:rsidRPr="00681F21">
              <w:rPr>
                <w:rFonts w:ascii="Times New Roman" w:eastAsia="SimSun" w:hAnsi="Times New Roman" w:cs="Times New Roman"/>
                <w:sz w:val="24"/>
                <w:szCs w:val="24"/>
              </w:rPr>
              <w:t xml:space="preserve">Papildus punkti tiks piešķirti arī transportlīdzekļiem, kas var apliecināt spēju nodrošināt, ka izplūdes emisija ir 0 noteiktajā obligātajā attālumā, proti, attālumā, ko vieglais automobilis var nobraukt bez izplūdes emisijām, proporcionāli transportlīdzekļa jaudai. Pasūtītājs noteiks atsauces robežvērtību obligātajam attālumam, kurā izplūdes emisijai jābūt 0, saskaņā ar uzaicinājumā iesniegt piedāvājumus minētajiem paredzētajiem izmantošanas profiliem (piedāvātais noklusējuma attālums varētu būt 40 km). </w:t>
            </w:r>
          </w:p>
        </w:tc>
      </w:tr>
    </w:tbl>
    <w:p w14:paraId="6557AE49" w14:textId="77777777" w:rsidR="00681F21" w:rsidRPr="00681F21" w:rsidRDefault="00681F21" w:rsidP="00681F21">
      <w:pPr>
        <w:spacing w:after="120" w:line="264" w:lineRule="auto"/>
        <w:jc w:val="both"/>
        <w:rPr>
          <w:rFonts w:ascii="Times New Roman" w:eastAsia="SimSun" w:hAnsi="Times New Roman" w:cs="Times New Roman"/>
          <w:sz w:val="24"/>
          <w:szCs w:val="24"/>
        </w:rPr>
      </w:pPr>
    </w:p>
    <w:p w14:paraId="6FC62106" w14:textId="77777777" w:rsidR="00681F21" w:rsidRPr="00681F21" w:rsidRDefault="00681F21" w:rsidP="00681F21">
      <w:pPr>
        <w:spacing w:after="120" w:line="264" w:lineRule="auto"/>
        <w:jc w:val="both"/>
        <w:rPr>
          <w:rFonts w:ascii="Times New Roman" w:eastAsia="SimSun" w:hAnsi="Times New Roman" w:cs="Times New Roman"/>
          <w:sz w:val="24"/>
          <w:szCs w:val="24"/>
        </w:rPr>
      </w:pPr>
    </w:p>
    <w:p w14:paraId="4946DC89" w14:textId="211A633E" w:rsidR="00C91C24" w:rsidRPr="00315EC7" w:rsidRDefault="00C91C24" w:rsidP="00C91C24">
      <w:pPr>
        <w:pStyle w:val="ListParagraph"/>
        <w:numPr>
          <w:ilvl w:val="0"/>
          <w:numId w:val="1"/>
        </w:numPr>
        <w:spacing w:after="0" w:line="240" w:lineRule="auto"/>
        <w:rPr>
          <w:rFonts w:ascii="Times New Roman" w:eastAsia="Times New Roman" w:hAnsi="Times New Roman" w:cs="Times New Roman"/>
          <w:b/>
          <w:color w:val="000000"/>
          <w:sz w:val="24"/>
          <w:szCs w:val="24"/>
          <w:lang w:eastAsia="lv-LV"/>
        </w:rPr>
      </w:pPr>
      <w:r w:rsidRPr="00315EC7">
        <w:rPr>
          <w:rFonts w:ascii="Times New Roman" w:eastAsia="SimSun" w:hAnsi="Times New Roman" w:cs="Times New Roman"/>
          <w:sz w:val="24"/>
          <w:szCs w:val="24"/>
          <w:lang w:eastAsia="ja-JP"/>
        </w:rPr>
        <w:t>Noteikumu 2. pielikuma aprakstu izteikt šādā redakcijā: “</w:t>
      </w:r>
      <w:r w:rsidRPr="00315EC7">
        <w:rPr>
          <w:rFonts w:ascii="Times New Roman" w:eastAsia="Times New Roman" w:hAnsi="Times New Roman" w:cs="Times New Roman"/>
          <w:b/>
          <w:color w:val="000000"/>
          <w:sz w:val="24"/>
          <w:szCs w:val="24"/>
          <w:lang w:eastAsia="lv-LV"/>
        </w:rPr>
        <w:t>Zaļā publiskā iepirkuma (ZPI) prasības un  kritēriji, kurus var izmantot būvdarbu, citu prioritāru preču un pakalpojumu grupu publiskajā iepirkumā</w:t>
      </w:r>
    </w:p>
    <w:p w14:paraId="3E87467E" w14:textId="77777777" w:rsidR="00C91C24" w:rsidRPr="00C91C24" w:rsidRDefault="00C91C24" w:rsidP="00C91C24">
      <w:pPr>
        <w:spacing w:after="0" w:line="240" w:lineRule="auto"/>
        <w:rPr>
          <w:rFonts w:ascii="Times New Roman" w:eastAsia="Times New Roman" w:hAnsi="Times New Roman" w:cs="Times New Roman"/>
          <w:color w:val="000000"/>
          <w:sz w:val="24"/>
          <w:szCs w:val="24"/>
          <w:lang w:eastAsia="lv-LV"/>
        </w:rPr>
      </w:pPr>
    </w:p>
    <w:p w14:paraId="66A817A1" w14:textId="77777777" w:rsidR="00C91C24" w:rsidRPr="00C91C24" w:rsidRDefault="00C91C24" w:rsidP="00D74B3B">
      <w:pPr>
        <w:spacing w:after="0" w:line="240" w:lineRule="auto"/>
        <w:ind w:left="720"/>
        <w:jc w:val="both"/>
        <w:rPr>
          <w:rFonts w:ascii="Times New Roman" w:eastAsia="Times New Roman" w:hAnsi="Times New Roman" w:cs="Times New Roman"/>
          <w:b/>
          <w:color w:val="000000"/>
          <w:sz w:val="24"/>
          <w:szCs w:val="24"/>
          <w:lang w:eastAsia="lv-LV"/>
        </w:rPr>
      </w:pPr>
      <w:r w:rsidRPr="00C91C24">
        <w:rPr>
          <w:rFonts w:ascii="Times New Roman" w:eastAsia="Times New Roman" w:hAnsi="Times New Roman" w:cs="Times New Roman"/>
          <w:b/>
          <w:color w:val="000000"/>
          <w:sz w:val="24"/>
          <w:szCs w:val="24"/>
          <w:lang w:eastAsia="lv-LV"/>
        </w:rPr>
        <w:t>Būvdarbi un preču un pakalpojumu grupas, kurām noteiktas ZPI prasības un  kritēriji</w:t>
      </w:r>
    </w:p>
    <w:p w14:paraId="599F5CBE" w14:textId="77777777" w:rsidR="00C91C24" w:rsidRPr="00C91C24" w:rsidRDefault="00C91C24" w:rsidP="00C91C24">
      <w:pPr>
        <w:spacing w:after="0" w:line="240" w:lineRule="auto"/>
        <w:jc w:val="both"/>
        <w:rPr>
          <w:rFonts w:ascii="Times New Roman" w:eastAsia="Times New Roman" w:hAnsi="Times New Roman" w:cs="Times New Roman"/>
          <w:color w:val="000000"/>
          <w:sz w:val="24"/>
          <w:szCs w:val="24"/>
          <w:lang w:eastAsia="lv-LV"/>
        </w:rPr>
      </w:pPr>
    </w:p>
    <w:p w14:paraId="51B5DC62"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1.Ceļu būve un satiksmes zīmes</w:t>
      </w:r>
    </w:p>
    <w:p w14:paraId="48D48301"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2.Ūdens sildītāji siltuma ražošanai</w:t>
      </w:r>
    </w:p>
    <w:p w14:paraId="1BB28A51"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3.Dārzkopības produkti un pakalpojumi</w:t>
      </w:r>
    </w:p>
    <w:p w14:paraId="2B710DCF"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4.Elektroenerģija</w:t>
      </w:r>
    </w:p>
    <w:p w14:paraId="2B2B8382"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5.Klozetpodi un pisuāri</w:t>
      </w:r>
    </w:p>
    <w:p w14:paraId="3F60ECBE"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6.Koģenerācijas iekārtas</w:t>
      </w:r>
    </w:p>
    <w:p w14:paraId="0466F8B0"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7.Mēbeles</w:t>
      </w:r>
    </w:p>
    <w:p w14:paraId="7D5F2C3C"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8.Notekūdeņu infrastruktūra</w:t>
      </w:r>
    </w:p>
    <w:p w14:paraId="4730F1C2"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9.Sienu paneļi</w:t>
      </w:r>
    </w:p>
    <w:p w14:paraId="3BB771F9"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10.Izlietnes krāni, dušas uzgaļi un to aprīkojums</w:t>
      </w:r>
    </w:p>
    <w:p w14:paraId="079C36C6"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11.Tekstilpreces</w:t>
      </w:r>
    </w:p>
    <w:p w14:paraId="0EEE1131" w14:textId="77777777" w:rsidR="00C91C24" w:rsidRPr="00C91C24" w:rsidRDefault="00C91C24" w:rsidP="00E738A8">
      <w:pPr>
        <w:spacing w:after="0" w:line="240" w:lineRule="auto"/>
        <w:ind w:left="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12.Sabiedrisko transportlīdzekļu un atkritumu savākšanas transportlīdzekļu iegāde vai pakalpojumi</w:t>
      </w:r>
    </w:p>
    <w:p w14:paraId="5E162E4F" w14:textId="77777777" w:rsidR="00C91C24" w:rsidRPr="00C91C24" w:rsidRDefault="00C91C24" w:rsidP="00E738A8">
      <w:pPr>
        <w:spacing w:after="0" w:line="240" w:lineRule="auto"/>
        <w:ind w:left="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13.Veselības aprūpes elektriskās un elektroniskās iekārtas (veselības aprūpes EEI)</w:t>
      </w:r>
    </w:p>
    <w:p w14:paraId="13FB7EAB" w14:textId="77777777" w:rsidR="00C91C24" w:rsidRPr="00C91C24" w:rsidRDefault="00C91C24" w:rsidP="00E738A8">
      <w:pPr>
        <w:spacing w:after="0" w:line="240" w:lineRule="auto"/>
        <w:ind w:firstLine="720"/>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14. Atpūtas un sporta infrastruktūra</w:t>
      </w:r>
    </w:p>
    <w:p w14:paraId="3237242A" w14:textId="77777777" w:rsidR="00C91C24" w:rsidRPr="00C91C24" w:rsidRDefault="00C91C24" w:rsidP="00C91C24">
      <w:pPr>
        <w:spacing w:after="0" w:line="240" w:lineRule="auto"/>
        <w:jc w:val="both"/>
        <w:rPr>
          <w:rFonts w:ascii="Times New Roman" w:eastAsia="Times New Roman" w:hAnsi="Times New Roman" w:cs="Times New Roman"/>
          <w:color w:val="000000"/>
          <w:sz w:val="24"/>
          <w:szCs w:val="24"/>
          <w:lang w:eastAsia="lv-LV"/>
        </w:rPr>
      </w:pPr>
    </w:p>
    <w:p w14:paraId="08732206" w14:textId="15D217FA" w:rsidR="00C91C24" w:rsidRPr="00C91C24" w:rsidRDefault="00C91C24" w:rsidP="00A157A2">
      <w:pPr>
        <w:spacing w:after="0" w:line="240" w:lineRule="auto"/>
        <w:ind w:left="568"/>
        <w:jc w:val="both"/>
        <w:rPr>
          <w:rFonts w:ascii="Times New Roman" w:eastAsia="Times New Roman" w:hAnsi="Times New Roman" w:cs="Times New Roman"/>
          <w:color w:val="000000"/>
          <w:sz w:val="24"/>
          <w:szCs w:val="24"/>
          <w:lang w:eastAsia="lv-LV"/>
        </w:rPr>
      </w:pPr>
      <w:r w:rsidRPr="00C91C24">
        <w:rPr>
          <w:rFonts w:ascii="Times New Roman" w:eastAsia="Times New Roman" w:hAnsi="Times New Roman" w:cs="Times New Roman"/>
          <w:color w:val="000000"/>
          <w:sz w:val="24"/>
          <w:szCs w:val="24"/>
          <w:lang w:eastAsia="lv-LV"/>
        </w:rPr>
        <w:t xml:space="preserve">Vides aizsardzības un reģionālās attīstības ministrija iesniedz nacionālajai standartizācijas institūcijai publicēšanai tās tīmekļvietnē to piemērojamo </w:t>
      </w:r>
      <w:r w:rsidRPr="00C91C24">
        <w:rPr>
          <w:rFonts w:ascii="Times New Roman" w:eastAsia="Times New Roman" w:hAnsi="Times New Roman" w:cs="Times New Roman"/>
          <w:color w:val="000000"/>
          <w:sz w:val="24"/>
          <w:szCs w:val="24"/>
          <w:lang w:eastAsia="lv-LV"/>
        </w:rPr>
        <w:lastRenderedPageBreak/>
        <w:t>standartu sarakstu, kurus var piemērot šo noteikumu prasību izpildei  (turpmāk – piemērojamie standarti).</w:t>
      </w:r>
      <w:r w:rsidR="00E1010E" w:rsidRPr="00315EC7">
        <w:rPr>
          <w:rFonts w:ascii="Times New Roman" w:eastAsia="Times New Roman" w:hAnsi="Times New Roman" w:cs="Times New Roman"/>
          <w:color w:val="000000"/>
          <w:sz w:val="24"/>
          <w:szCs w:val="24"/>
          <w:lang w:eastAsia="lv-LV"/>
        </w:rPr>
        <w:t>”</w:t>
      </w:r>
    </w:p>
    <w:p w14:paraId="0352E49A" w14:textId="77777777" w:rsidR="00457AC0" w:rsidRPr="00315EC7" w:rsidRDefault="006B2197" w:rsidP="00EB2FE4">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Dzēst Noteikumu 2. pielikumā 1. sadaļu “Biroja ēku projektēšana, būvdarbi un apsaimniekošana”. </w:t>
      </w:r>
    </w:p>
    <w:p w14:paraId="01E2F76F" w14:textId="0952944A" w:rsidR="00953505" w:rsidRPr="00315EC7" w:rsidRDefault="00953505" w:rsidP="00953505">
      <w:pPr>
        <w:pStyle w:val="ListParagraph"/>
        <w:keepNext/>
        <w:keepLines/>
        <w:numPr>
          <w:ilvl w:val="0"/>
          <w:numId w:val="1"/>
        </w:numPr>
        <w:spacing w:after="0" w:line="240" w:lineRule="auto"/>
        <w:outlineLvl w:val="0"/>
        <w:rPr>
          <w:rFonts w:ascii="Times New Roman" w:eastAsia="MS Gothic" w:hAnsi="Times New Roman" w:cs="Times New Roman"/>
          <w:color w:val="000000"/>
          <w:sz w:val="24"/>
          <w:szCs w:val="24"/>
          <w:lang w:eastAsia="lv-LV"/>
        </w:rPr>
      </w:pPr>
      <w:r w:rsidRPr="00315EC7">
        <w:rPr>
          <w:rFonts w:ascii="Times New Roman" w:eastAsia="SimSun" w:hAnsi="Times New Roman" w:cs="Times New Roman"/>
          <w:sz w:val="24"/>
          <w:szCs w:val="24"/>
          <w:lang w:eastAsia="ja-JP"/>
        </w:rPr>
        <w:t>Noteikumu 2. pielikuma 12. sadaļas aprakstu izteikt šādā redakcijā: “</w:t>
      </w:r>
      <w:r w:rsidRPr="00315EC7">
        <w:rPr>
          <w:rFonts w:ascii="Times New Roman" w:eastAsia="MS Gothic" w:hAnsi="Times New Roman" w:cs="Times New Roman"/>
          <w:color w:val="000000"/>
          <w:sz w:val="24"/>
          <w:szCs w:val="24"/>
          <w:lang w:eastAsia="lv-LV"/>
        </w:rPr>
        <w:t>12. Sabiedrisko transportlīdzekļu un atkritumu savākšanas transportlīdzekļu iegāde vai pakalpojumi</w:t>
      </w:r>
    </w:p>
    <w:p w14:paraId="7B3B0B67" w14:textId="4334E0BE" w:rsidR="00953505" w:rsidRDefault="00953505" w:rsidP="0021166A">
      <w:pPr>
        <w:spacing w:after="0" w:line="240" w:lineRule="auto"/>
        <w:ind w:left="208" w:firstLine="720"/>
        <w:jc w:val="both"/>
        <w:rPr>
          <w:rFonts w:ascii="Times New Roman" w:eastAsia="Times New Roman" w:hAnsi="Times New Roman" w:cs="Times New Roman"/>
          <w:color w:val="000000"/>
          <w:sz w:val="24"/>
          <w:szCs w:val="24"/>
          <w:lang w:eastAsia="en-GB"/>
        </w:rPr>
      </w:pPr>
      <w:r w:rsidRPr="00953505">
        <w:rPr>
          <w:rFonts w:ascii="Times New Roman" w:eastAsia="Times New Roman" w:hAnsi="Times New Roman" w:cs="Times New Roman"/>
          <w:color w:val="000000"/>
          <w:sz w:val="24"/>
          <w:szCs w:val="24"/>
          <w:lang w:eastAsia="en-GB"/>
        </w:rPr>
        <w:t xml:space="preserve">Prasības un kritēriji attiecas uz divām  ražojumu grupām: </w:t>
      </w:r>
    </w:p>
    <w:p w14:paraId="144BC976" w14:textId="77777777" w:rsidR="006D3F12" w:rsidRDefault="00953505" w:rsidP="00BE7560">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en-GB"/>
        </w:rPr>
      </w:pPr>
      <w:r w:rsidRPr="006D3F12">
        <w:rPr>
          <w:rFonts w:ascii="Times New Roman" w:eastAsia="Times New Roman" w:hAnsi="Times New Roman" w:cs="Times New Roman"/>
          <w:color w:val="000000"/>
          <w:sz w:val="24"/>
          <w:szCs w:val="24"/>
          <w:lang w:eastAsia="en-GB"/>
        </w:rPr>
        <w:t>jaunu sabiedrisko transportlīdzekļu iegāde un sabiedriskā transporta pakalpojumi;</w:t>
      </w:r>
    </w:p>
    <w:p w14:paraId="38C165C8" w14:textId="49A32EEB" w:rsidR="00953505" w:rsidRPr="006D3F12" w:rsidRDefault="00953505" w:rsidP="00BE7560">
      <w:pPr>
        <w:pStyle w:val="ListParagraph"/>
        <w:numPr>
          <w:ilvl w:val="0"/>
          <w:numId w:val="8"/>
        </w:numPr>
        <w:spacing w:after="0" w:line="240" w:lineRule="auto"/>
        <w:jc w:val="both"/>
        <w:rPr>
          <w:rFonts w:ascii="Times New Roman" w:eastAsia="Times New Roman" w:hAnsi="Times New Roman" w:cs="Times New Roman"/>
          <w:color w:val="000000"/>
          <w:sz w:val="24"/>
          <w:szCs w:val="24"/>
          <w:lang w:eastAsia="en-GB"/>
        </w:rPr>
      </w:pPr>
      <w:r w:rsidRPr="006D3F12">
        <w:rPr>
          <w:rFonts w:ascii="Times New Roman" w:eastAsia="Times New Roman" w:hAnsi="Times New Roman" w:cs="Times New Roman"/>
          <w:color w:val="000000"/>
          <w:sz w:val="24"/>
          <w:szCs w:val="24"/>
          <w:lang w:eastAsia="en-GB"/>
        </w:rPr>
        <w:t>jaunu atkritumu savākšanas transportlīdzekļu iegāde</w:t>
      </w:r>
      <w:r w:rsidRPr="006D3F12">
        <w:rPr>
          <w:rFonts w:ascii="Times New Roman" w:eastAsia="Times New Roman" w:hAnsi="Times New Roman" w:cs="Times New Roman"/>
          <w:color w:val="000000"/>
          <w:sz w:val="24"/>
          <w:szCs w:val="24"/>
          <w:lang w:eastAsia="en-GB"/>
        </w:rPr>
        <w:t xml:space="preserve"> </w:t>
      </w:r>
      <w:r w:rsidRPr="006D3F12">
        <w:rPr>
          <w:rFonts w:ascii="Times New Roman" w:eastAsia="Times New Roman" w:hAnsi="Times New Roman" w:cs="Times New Roman"/>
          <w:color w:val="000000"/>
          <w:sz w:val="24"/>
          <w:szCs w:val="24"/>
          <w:lang w:eastAsia="en-GB"/>
        </w:rPr>
        <w:t>un pakalpojumi.</w:t>
      </w:r>
    </w:p>
    <w:p w14:paraId="6E6A812C" w14:textId="2B066212" w:rsidR="00953505" w:rsidRPr="00953505" w:rsidRDefault="00953505" w:rsidP="00857CA8">
      <w:pPr>
        <w:shd w:val="clear" w:color="auto" w:fill="FFFFFF"/>
        <w:spacing w:after="120" w:line="264" w:lineRule="auto"/>
        <w:ind w:left="928"/>
        <w:jc w:val="both"/>
        <w:rPr>
          <w:rFonts w:ascii="Times New Roman" w:eastAsia="Times New Roman" w:hAnsi="Times New Roman" w:cs="Times New Roman"/>
          <w:color w:val="000000"/>
          <w:sz w:val="24"/>
          <w:szCs w:val="24"/>
        </w:rPr>
      </w:pPr>
      <w:r w:rsidRPr="00953505">
        <w:rPr>
          <w:rFonts w:ascii="Times New Roman" w:eastAsia="Times New Roman" w:hAnsi="Times New Roman" w:cs="Times New Roman"/>
          <w:color w:val="000000"/>
          <w:sz w:val="24"/>
          <w:szCs w:val="24"/>
        </w:rPr>
        <w:t xml:space="preserve">Piedāvātie kritēriji ir jāskata kopā ar </w:t>
      </w:r>
      <w:r w:rsidRPr="00953505">
        <w:rPr>
          <w:rFonts w:ascii="Times New Roman" w:eastAsia="Times New Roman" w:hAnsi="Times New Roman" w:cs="Times New Roman"/>
          <w:bCs/>
          <w:color w:val="000000"/>
          <w:sz w:val="24"/>
          <w:szCs w:val="24"/>
        </w:rPr>
        <w:t xml:space="preserve"> </w:t>
      </w:r>
      <w:r w:rsidRPr="00953505">
        <w:rPr>
          <w:rFonts w:ascii="Times New Roman" w:eastAsia="Times New Roman" w:hAnsi="Times New Roman" w:cs="Times New Roman"/>
          <w:color w:val="000000"/>
          <w:sz w:val="24"/>
          <w:szCs w:val="24"/>
        </w:rPr>
        <w:t>2013. gada 25. jūnija Mi</w:t>
      </w:r>
      <w:r w:rsidRPr="00953505">
        <w:rPr>
          <w:rFonts w:ascii="Times New Roman" w:eastAsia="Times New Roman" w:hAnsi="Times New Roman" w:cs="Times New Roman"/>
          <w:bCs/>
          <w:color w:val="000000"/>
          <w:sz w:val="24"/>
          <w:szCs w:val="24"/>
        </w:rPr>
        <w:t>nistru kabineta noteikumiem Nr. 351 "</w:t>
      </w:r>
      <w:r w:rsidRPr="00953505">
        <w:rPr>
          <w:rFonts w:ascii="Times New Roman" w:eastAsia="Times New Roman" w:hAnsi="Times New Roman" w:cs="Times New Roman"/>
          <w:color w:val="000000"/>
          <w:sz w:val="24"/>
          <w:szCs w:val="24"/>
        </w:rPr>
        <w:t> </w:t>
      </w:r>
      <w:r w:rsidRPr="00953505">
        <w:rPr>
          <w:rFonts w:ascii="Times New Roman" w:eastAsia="Times New Roman" w:hAnsi="Times New Roman" w:cs="Times New Roman"/>
          <w:bCs/>
          <w:color w:val="000000"/>
          <w:sz w:val="24"/>
          <w:szCs w:val="24"/>
        </w:rPr>
        <w:t>Sabiedrisko autotransporta līdzekļu iepirkuma noteikumi" un citiem saistītiem tiesību aktiem</w:t>
      </w:r>
      <w:r w:rsidRPr="00953505">
        <w:rPr>
          <w:rFonts w:ascii="Times New Roman" w:eastAsia="Times New Roman" w:hAnsi="Times New Roman" w:cs="Times New Roman"/>
          <w:color w:val="000000"/>
          <w:sz w:val="24"/>
          <w:szCs w:val="24"/>
        </w:rPr>
        <w:t>.</w:t>
      </w:r>
      <w:r w:rsidRPr="00315EC7">
        <w:rPr>
          <w:rFonts w:ascii="Times New Roman" w:eastAsia="Times New Roman" w:hAnsi="Times New Roman" w:cs="Times New Roman"/>
          <w:color w:val="000000"/>
          <w:sz w:val="24"/>
          <w:szCs w:val="24"/>
        </w:rPr>
        <w:t>”</w:t>
      </w:r>
      <w:r w:rsidRPr="00953505">
        <w:rPr>
          <w:rFonts w:ascii="Times New Roman" w:eastAsia="Times New Roman" w:hAnsi="Times New Roman" w:cs="Times New Roman"/>
          <w:color w:val="000000"/>
          <w:sz w:val="24"/>
          <w:szCs w:val="24"/>
        </w:rPr>
        <w:t xml:space="preserve"> </w:t>
      </w:r>
    </w:p>
    <w:p w14:paraId="4A41A8A4" w14:textId="7D6ABD86" w:rsidR="00EB2FE4" w:rsidRPr="00315EC7" w:rsidRDefault="001713B7" w:rsidP="00EB2FE4">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Dzēst Noteikumu 2. pielikuma 12.1. sadaļu “</w:t>
      </w:r>
      <w:r w:rsidRPr="00315EC7">
        <w:rPr>
          <w:rFonts w:ascii="Times New Roman" w:eastAsia="MS Gothic" w:hAnsi="Times New Roman" w:cs="Times New Roman"/>
          <w:color w:val="000000"/>
          <w:sz w:val="24"/>
          <w:szCs w:val="24"/>
        </w:rPr>
        <w:t>ZPI prasības un kritēriji jaunu vieglo automobiļu un jaunu vieglo kravas automobiļu iegādei</w:t>
      </w:r>
      <w:r w:rsidRPr="00315EC7">
        <w:rPr>
          <w:rFonts w:ascii="Times New Roman" w:eastAsia="SimSun" w:hAnsi="Times New Roman" w:cs="Times New Roman"/>
          <w:sz w:val="24"/>
          <w:szCs w:val="24"/>
          <w:lang w:eastAsia="ja-JP"/>
        </w:rPr>
        <w:t>”.</w:t>
      </w:r>
    </w:p>
    <w:p w14:paraId="7C17871F" w14:textId="0E980CB5" w:rsidR="004F0D55" w:rsidRPr="00315EC7" w:rsidRDefault="004F0D55" w:rsidP="004F0D55">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Precizēt Noteikumu 2. pielikuma 12. 1. sadaļas nosaukumu izsakot to šādā redakcijā: “</w:t>
      </w:r>
      <w:r w:rsidRPr="00315EC7">
        <w:rPr>
          <w:rFonts w:ascii="Times New Roman" w:eastAsia="SimSun" w:hAnsi="Times New Roman" w:cs="Times New Roman"/>
          <w:sz w:val="24"/>
          <w:szCs w:val="24"/>
          <w:lang w:eastAsia="ja-JP"/>
        </w:rPr>
        <w:t>ZPI prasības un kritēriji jaunu sabiedrisko transportlīdzekļu iegādei  (autobusu iepirkums)</w:t>
      </w:r>
      <w:r w:rsidRPr="00315EC7">
        <w:rPr>
          <w:rFonts w:ascii="Times New Roman" w:eastAsia="SimSun" w:hAnsi="Times New Roman" w:cs="Times New Roman"/>
          <w:sz w:val="24"/>
          <w:szCs w:val="24"/>
          <w:lang w:eastAsia="ja-JP"/>
        </w:rPr>
        <w:t xml:space="preserve">”. </w:t>
      </w:r>
    </w:p>
    <w:p w14:paraId="6EA2BE08" w14:textId="49FDBFC5" w:rsidR="000F726B" w:rsidRPr="00315EC7" w:rsidRDefault="000F726B" w:rsidP="000F726B">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Noteikumu 2. pielikuma 12.1.</w:t>
      </w:r>
      <w:r w:rsidR="00BE6AF7" w:rsidRPr="00315EC7">
        <w:rPr>
          <w:rFonts w:ascii="Times New Roman" w:eastAsia="SimSun" w:hAnsi="Times New Roman" w:cs="Times New Roman"/>
          <w:sz w:val="24"/>
          <w:szCs w:val="24"/>
          <w:lang w:eastAsia="ja-JP"/>
        </w:rPr>
        <w:t>, 12.2.</w:t>
      </w:r>
      <w:r w:rsidR="00680660" w:rsidRPr="00315EC7">
        <w:rPr>
          <w:rFonts w:ascii="Times New Roman" w:eastAsia="SimSun" w:hAnsi="Times New Roman" w:cs="Times New Roman"/>
          <w:sz w:val="24"/>
          <w:szCs w:val="24"/>
          <w:lang w:eastAsia="ja-JP"/>
        </w:rPr>
        <w:t xml:space="preserve">, 12.4. </w:t>
      </w:r>
      <w:r w:rsidRPr="00315EC7">
        <w:rPr>
          <w:rFonts w:ascii="Times New Roman" w:eastAsia="SimSun" w:hAnsi="Times New Roman" w:cs="Times New Roman"/>
          <w:sz w:val="24"/>
          <w:szCs w:val="24"/>
          <w:lang w:eastAsia="ja-JP"/>
        </w:rPr>
        <w:t>sadaļas ZPI prasības un kritēriji Piedāvājuma izvērtēšanas kritēriji 2. punktu izteikt šādā redakcijā: “</w:t>
      </w:r>
      <w:r w:rsidRPr="00315EC7">
        <w:rPr>
          <w:rFonts w:ascii="Times New Roman" w:eastAsia="SimSun" w:hAnsi="Times New Roman" w:cs="Times New Roman"/>
          <w:sz w:val="24"/>
          <w:szCs w:val="24"/>
          <w:lang w:eastAsia="ja-JP"/>
        </w:rPr>
        <w:t xml:space="preserve">2. ALTERNATĪVAS DEGVIELAS IZMANTOŠANA </w:t>
      </w:r>
    </w:p>
    <w:p w14:paraId="74613A74" w14:textId="77777777" w:rsidR="000F726B" w:rsidRPr="00315EC7" w:rsidRDefault="000F726B" w:rsidP="000F726B">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To transportlīdzekļu proporcija, kuri var izmantot alternatīvus degvielas veidus vai sistēmas (piem., biodegvielu, elektrības, ūdeņraža vai hibrīdsistēmas, dabasgāzi).</w:t>
      </w:r>
    </w:p>
    <w:p w14:paraId="5AFFAE19" w14:textId="662E61D5" w:rsidR="005C0A4C" w:rsidRPr="00315EC7" w:rsidRDefault="000F726B" w:rsidP="000F726B">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Bezemisiju transportlīdzeklim piešķir maksimālo punktu skaitu.</w:t>
      </w:r>
      <w:r w:rsidRPr="00315EC7">
        <w:rPr>
          <w:rFonts w:ascii="Times New Roman" w:eastAsia="SimSun" w:hAnsi="Times New Roman" w:cs="Times New Roman"/>
          <w:sz w:val="24"/>
          <w:szCs w:val="24"/>
          <w:lang w:eastAsia="ja-JP"/>
        </w:rPr>
        <w:t>”</w:t>
      </w:r>
    </w:p>
    <w:p w14:paraId="2B98D4B9" w14:textId="3D43B2F4" w:rsidR="00BE6AF7" w:rsidRPr="00315EC7" w:rsidRDefault="00BE6AF7" w:rsidP="00BE6AF7">
      <w:pPr>
        <w:pStyle w:val="ListParagraph"/>
        <w:numPr>
          <w:ilvl w:val="0"/>
          <w:numId w:val="1"/>
        </w:numPr>
        <w:suppressAutoHyphens/>
        <w:autoSpaceDN w:val="0"/>
        <w:spacing w:before="88" w:after="88" w:line="264" w:lineRule="auto"/>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Noteikumu 2. pielikuma </w:t>
      </w:r>
      <w:r w:rsidRPr="00315EC7">
        <w:rPr>
          <w:rFonts w:ascii="Times New Roman" w:eastAsia="SimSun" w:hAnsi="Times New Roman" w:cs="Times New Roman"/>
          <w:sz w:val="24"/>
          <w:szCs w:val="24"/>
          <w:lang w:eastAsia="ja-JP"/>
        </w:rPr>
        <w:t>12.3.</w:t>
      </w:r>
      <w:r w:rsidRPr="00315EC7">
        <w:rPr>
          <w:rFonts w:ascii="Times New Roman" w:eastAsia="SimSun" w:hAnsi="Times New Roman" w:cs="Times New Roman"/>
          <w:sz w:val="24"/>
          <w:szCs w:val="24"/>
          <w:lang w:eastAsia="ja-JP"/>
        </w:rPr>
        <w:t xml:space="preserve"> sadaļas ZPI prasības un kritēriji Piedāvājuma izvērtēšanas kritēriji izteikt šādā redakcijā: “ALTERNATĪVAS DEGVIELAS IZMANTOŠANA </w:t>
      </w:r>
    </w:p>
    <w:p w14:paraId="139A0B7E" w14:textId="77777777" w:rsidR="005E2DD0" w:rsidRPr="00315EC7" w:rsidRDefault="005E2DD0" w:rsidP="005E2DD0">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 xml:space="preserve">Transportlīdzekļa konstrukcija paredz alternatīvu degvielas veidu vai sistēmu izmantošanu (piemēram, biodegvielas, elektriskās, ūdeņraža vai hibrīdsistēmas). </w:t>
      </w:r>
    </w:p>
    <w:p w14:paraId="354990C6" w14:textId="779FB9DA" w:rsidR="00BE6AF7" w:rsidRPr="00315EC7" w:rsidRDefault="005E2DD0" w:rsidP="005E2DD0">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r w:rsidRPr="00315EC7">
        <w:rPr>
          <w:rFonts w:ascii="Times New Roman" w:eastAsia="SimSun" w:hAnsi="Times New Roman" w:cs="Times New Roman"/>
          <w:sz w:val="24"/>
          <w:szCs w:val="24"/>
          <w:lang w:eastAsia="ja-JP"/>
        </w:rPr>
        <w:t>Bezemisiju transportlīdzekļiem piešķir maksimālo punktu skaitu.</w:t>
      </w:r>
      <w:r w:rsidR="00BE6AF7" w:rsidRPr="00315EC7">
        <w:rPr>
          <w:rFonts w:ascii="Times New Roman" w:eastAsia="SimSun" w:hAnsi="Times New Roman" w:cs="Times New Roman"/>
          <w:sz w:val="24"/>
          <w:szCs w:val="24"/>
          <w:lang w:eastAsia="ja-JP"/>
        </w:rPr>
        <w:t>”</w:t>
      </w:r>
    </w:p>
    <w:p w14:paraId="1C6C2690" w14:textId="1BBC23AE" w:rsidR="000F726B" w:rsidRPr="00315EC7" w:rsidRDefault="000F726B" w:rsidP="00680660">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p>
    <w:p w14:paraId="1BB19511" w14:textId="06B07243" w:rsidR="00597263" w:rsidRPr="00315EC7" w:rsidRDefault="00597263" w:rsidP="00680660">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p>
    <w:p w14:paraId="07A18CFE" w14:textId="77777777" w:rsidR="008B1CD6" w:rsidRPr="00315EC7" w:rsidRDefault="008B1CD6" w:rsidP="008B1CD6">
      <w:pPr>
        <w:spacing w:after="0" w:line="240" w:lineRule="auto"/>
        <w:ind w:firstLine="720"/>
        <w:rPr>
          <w:rFonts w:ascii="Times New Roman" w:hAnsi="Times New Roman"/>
          <w:sz w:val="24"/>
          <w:szCs w:val="24"/>
        </w:rPr>
      </w:pPr>
      <w:r w:rsidRPr="00315EC7">
        <w:rPr>
          <w:rFonts w:ascii="Times New Roman" w:hAnsi="Times New Roman"/>
          <w:sz w:val="24"/>
          <w:szCs w:val="24"/>
        </w:rPr>
        <w:t xml:space="preserve">Vides aizsardzības un </w:t>
      </w:r>
    </w:p>
    <w:p w14:paraId="5BAA9901" w14:textId="52BE48B4" w:rsidR="008B1CD6" w:rsidRPr="00315EC7" w:rsidRDefault="008B1CD6" w:rsidP="008B1CD6">
      <w:pPr>
        <w:spacing w:after="0" w:line="240" w:lineRule="auto"/>
        <w:ind w:firstLine="720"/>
        <w:rPr>
          <w:rFonts w:ascii="Times New Roman" w:hAnsi="Times New Roman"/>
          <w:sz w:val="24"/>
          <w:szCs w:val="24"/>
        </w:rPr>
      </w:pPr>
      <w:r w:rsidRPr="00315EC7">
        <w:rPr>
          <w:rFonts w:ascii="Times New Roman" w:hAnsi="Times New Roman"/>
          <w:sz w:val="24"/>
          <w:szCs w:val="24"/>
        </w:rPr>
        <w:t>reģionālās attīstības ministrs</w:t>
      </w:r>
      <w:r w:rsidRPr="00315EC7">
        <w:rPr>
          <w:rFonts w:ascii="Times New Roman" w:hAnsi="Times New Roman"/>
          <w:sz w:val="24"/>
          <w:szCs w:val="24"/>
        </w:rPr>
        <w:tab/>
      </w:r>
      <w:r w:rsidRPr="00315EC7">
        <w:rPr>
          <w:rFonts w:ascii="Times New Roman" w:hAnsi="Times New Roman"/>
          <w:sz w:val="24"/>
          <w:szCs w:val="24"/>
        </w:rPr>
        <w:tab/>
      </w:r>
      <w:r w:rsidRPr="00315EC7">
        <w:rPr>
          <w:rFonts w:ascii="Times New Roman" w:hAnsi="Times New Roman"/>
          <w:sz w:val="24"/>
          <w:szCs w:val="24"/>
        </w:rPr>
        <w:tab/>
      </w:r>
      <w:r w:rsidRPr="00315EC7">
        <w:rPr>
          <w:rFonts w:ascii="Times New Roman" w:hAnsi="Times New Roman"/>
          <w:sz w:val="24"/>
          <w:szCs w:val="24"/>
        </w:rPr>
        <w:tab/>
      </w:r>
      <w:r w:rsidR="00FD4EAC" w:rsidRPr="00315EC7">
        <w:rPr>
          <w:rFonts w:ascii="Times New Roman" w:hAnsi="Times New Roman"/>
          <w:sz w:val="24"/>
          <w:szCs w:val="24"/>
        </w:rPr>
        <w:tab/>
      </w:r>
      <w:r w:rsidRPr="00315EC7">
        <w:rPr>
          <w:rFonts w:ascii="Times New Roman" w:hAnsi="Times New Roman"/>
          <w:sz w:val="24"/>
          <w:szCs w:val="24"/>
        </w:rPr>
        <w:t>A.T.Plešs</w:t>
      </w:r>
    </w:p>
    <w:p w14:paraId="3ABCA610" w14:textId="77777777" w:rsidR="008B1CD6" w:rsidRPr="00315EC7" w:rsidRDefault="008B1CD6" w:rsidP="008B1CD6">
      <w:pPr>
        <w:tabs>
          <w:tab w:val="left" w:pos="6237"/>
        </w:tabs>
        <w:spacing w:after="0" w:line="240" w:lineRule="auto"/>
        <w:rPr>
          <w:rFonts w:ascii="Times New Roman" w:hAnsi="Times New Roman"/>
          <w:sz w:val="24"/>
          <w:szCs w:val="24"/>
        </w:rPr>
      </w:pPr>
    </w:p>
    <w:p w14:paraId="723B8076" w14:textId="77777777" w:rsidR="008B1CD6" w:rsidRPr="00315EC7" w:rsidRDefault="008B1CD6" w:rsidP="008B1CD6">
      <w:pPr>
        <w:tabs>
          <w:tab w:val="left" w:pos="6237"/>
        </w:tabs>
        <w:spacing w:after="0" w:line="240" w:lineRule="auto"/>
        <w:rPr>
          <w:rFonts w:ascii="Times New Roman" w:hAnsi="Times New Roman"/>
          <w:sz w:val="24"/>
          <w:szCs w:val="24"/>
        </w:rPr>
      </w:pPr>
    </w:p>
    <w:p w14:paraId="6FBC2819" w14:textId="71C12F32" w:rsidR="008B1CD6" w:rsidRPr="00315EC7" w:rsidRDefault="008B1CD6" w:rsidP="008B1CD6">
      <w:pPr>
        <w:tabs>
          <w:tab w:val="left" w:pos="6237"/>
        </w:tabs>
        <w:spacing w:after="0" w:line="240" w:lineRule="auto"/>
        <w:rPr>
          <w:rFonts w:ascii="Times New Roman" w:hAnsi="Times New Roman"/>
          <w:sz w:val="24"/>
          <w:szCs w:val="24"/>
        </w:rPr>
      </w:pPr>
    </w:p>
    <w:p w14:paraId="1B3C9245" w14:textId="7DC41357" w:rsidR="00524038" w:rsidRPr="00315EC7" w:rsidRDefault="00524038" w:rsidP="008B1CD6">
      <w:pPr>
        <w:tabs>
          <w:tab w:val="left" w:pos="6237"/>
        </w:tabs>
        <w:spacing w:after="0" w:line="240" w:lineRule="auto"/>
        <w:rPr>
          <w:rFonts w:ascii="Times New Roman" w:hAnsi="Times New Roman"/>
          <w:sz w:val="24"/>
          <w:szCs w:val="24"/>
        </w:rPr>
      </w:pPr>
    </w:p>
    <w:p w14:paraId="6626EC3C" w14:textId="77777777" w:rsidR="00524038" w:rsidRPr="00315EC7" w:rsidRDefault="00524038" w:rsidP="008B1CD6">
      <w:pPr>
        <w:tabs>
          <w:tab w:val="left" w:pos="6237"/>
        </w:tabs>
        <w:spacing w:after="0" w:line="240" w:lineRule="auto"/>
        <w:rPr>
          <w:rFonts w:ascii="Times New Roman" w:hAnsi="Times New Roman"/>
          <w:sz w:val="24"/>
          <w:szCs w:val="24"/>
        </w:rPr>
      </w:pPr>
    </w:p>
    <w:p w14:paraId="205B4364" w14:textId="77777777" w:rsidR="008B1CD6" w:rsidRPr="00315EC7" w:rsidRDefault="008B1CD6" w:rsidP="008B1CD6">
      <w:pPr>
        <w:tabs>
          <w:tab w:val="left" w:pos="6237"/>
        </w:tabs>
        <w:spacing w:after="0" w:line="240" w:lineRule="auto"/>
        <w:rPr>
          <w:rFonts w:ascii="Times New Roman" w:hAnsi="Times New Roman"/>
          <w:sz w:val="24"/>
          <w:szCs w:val="24"/>
        </w:rPr>
      </w:pPr>
    </w:p>
    <w:p w14:paraId="683513FD" w14:textId="77777777" w:rsidR="008B1CD6" w:rsidRPr="00315EC7" w:rsidRDefault="008B1CD6" w:rsidP="008B1CD6">
      <w:pPr>
        <w:tabs>
          <w:tab w:val="left" w:pos="6237"/>
        </w:tabs>
        <w:spacing w:after="0" w:line="240" w:lineRule="auto"/>
        <w:ind w:firstLine="720"/>
        <w:rPr>
          <w:rFonts w:ascii="Times New Roman" w:hAnsi="Times New Roman"/>
          <w:sz w:val="20"/>
          <w:szCs w:val="20"/>
        </w:rPr>
      </w:pPr>
      <w:r w:rsidRPr="00315EC7">
        <w:rPr>
          <w:rFonts w:ascii="Times New Roman" w:hAnsi="Times New Roman"/>
          <w:sz w:val="20"/>
          <w:szCs w:val="20"/>
        </w:rPr>
        <w:t>I. Pelša 67026457</w:t>
      </w:r>
    </w:p>
    <w:p w14:paraId="4D2111DD" w14:textId="7DC75A4A" w:rsidR="006C2D2D" w:rsidRPr="0036688C" w:rsidRDefault="008B1CD6" w:rsidP="0036688C">
      <w:pPr>
        <w:tabs>
          <w:tab w:val="left" w:pos="6237"/>
        </w:tabs>
        <w:spacing w:after="0" w:line="240" w:lineRule="auto"/>
        <w:ind w:firstLine="720"/>
        <w:rPr>
          <w:rFonts w:ascii="Times New Roman" w:hAnsi="Times New Roman"/>
          <w:sz w:val="20"/>
          <w:szCs w:val="20"/>
        </w:rPr>
      </w:pPr>
      <w:hyperlink r:id="rId7" w:history="1">
        <w:r w:rsidRPr="00315EC7">
          <w:rPr>
            <w:rStyle w:val="Hyperlink"/>
            <w:rFonts w:ascii="Times New Roman" w:hAnsi="Times New Roman"/>
            <w:sz w:val="20"/>
            <w:szCs w:val="20"/>
          </w:rPr>
          <w:t>Inese.Pelsa@varam.gov.lv</w:t>
        </w:r>
      </w:hyperlink>
    </w:p>
    <w:p w14:paraId="773D1598" w14:textId="77777777" w:rsidR="006C2D2D" w:rsidRPr="00315EC7" w:rsidRDefault="006C2D2D" w:rsidP="00541638">
      <w:pPr>
        <w:tabs>
          <w:tab w:val="left" w:pos="6345"/>
        </w:tabs>
        <w:spacing w:after="120" w:line="264" w:lineRule="auto"/>
        <w:jc w:val="both"/>
        <w:rPr>
          <w:rFonts w:ascii="Times New Roman" w:eastAsia="SimSun" w:hAnsi="Times New Roman" w:cs="Times New Roman"/>
          <w:sz w:val="24"/>
          <w:szCs w:val="24"/>
        </w:rPr>
      </w:pPr>
    </w:p>
    <w:p w14:paraId="3A1C39F3" w14:textId="77777777" w:rsidR="00597263" w:rsidRPr="00315EC7" w:rsidRDefault="00597263" w:rsidP="00680660">
      <w:pPr>
        <w:pStyle w:val="ListParagraph"/>
        <w:suppressAutoHyphens/>
        <w:autoSpaceDN w:val="0"/>
        <w:spacing w:before="88" w:after="88" w:line="264" w:lineRule="auto"/>
        <w:ind w:left="928"/>
        <w:jc w:val="both"/>
        <w:textAlignment w:val="baseline"/>
        <w:rPr>
          <w:rFonts w:ascii="Times New Roman" w:eastAsia="SimSun" w:hAnsi="Times New Roman" w:cs="Times New Roman"/>
          <w:sz w:val="24"/>
          <w:szCs w:val="24"/>
          <w:lang w:eastAsia="ja-JP"/>
        </w:rPr>
      </w:pPr>
    </w:p>
    <w:p w14:paraId="2180CC1F" w14:textId="3217595B" w:rsidR="00EA5C99" w:rsidRPr="00315EC7" w:rsidRDefault="00EA5C99">
      <w:pPr>
        <w:rPr>
          <w:rFonts w:ascii="Times New Roman" w:hAnsi="Times New Roman" w:cs="Times New Roman"/>
          <w:sz w:val="24"/>
          <w:szCs w:val="24"/>
        </w:rPr>
      </w:pPr>
    </w:p>
    <w:sectPr w:rsidR="00EA5C99" w:rsidRPr="00315EC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9F431" w14:textId="77777777" w:rsidR="00BE7560" w:rsidRDefault="00BE7560" w:rsidP="00E42991">
      <w:pPr>
        <w:spacing w:after="0" w:line="240" w:lineRule="auto"/>
      </w:pPr>
      <w:r>
        <w:separator/>
      </w:r>
    </w:p>
  </w:endnote>
  <w:endnote w:type="continuationSeparator" w:id="0">
    <w:p w14:paraId="667C3408" w14:textId="77777777" w:rsidR="00BE7560" w:rsidRDefault="00BE7560" w:rsidP="00E42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venir Heavy">
    <w:altName w:val="Calibri"/>
    <w:charset w:val="4D"/>
    <w:family w:val="swiss"/>
    <w:pitch w:val="variable"/>
    <w:sig w:usb0="800000AF" w:usb1="5000204A"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w:altName w:val="Times"/>
    <w:panose1 w:val="02020603050405020304"/>
    <w:charset w:val="00"/>
    <w:family w:val="auto"/>
    <w:pitch w:val="variable"/>
    <w:sig w:usb0="E00002FF" w:usb1="5000205A"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venir LT Std 55 Roman">
    <w:altName w:val="Times New Roman"/>
    <w:panose1 w:val="00000000000000000000"/>
    <w:charset w:val="00"/>
    <w:family w:val="swiss"/>
    <w:notTrueType/>
    <w:pitch w:val="variable"/>
    <w:sig w:usb0="800000AF" w:usb1="4000204A" w:usb2="00000000" w:usb3="00000000" w:csb0="00000001" w:csb1="00000000"/>
  </w:font>
  <w:font w:name="Avenir LT Std 45 Book">
    <w:altName w:val="Cambria"/>
    <w:panose1 w:val="00000000000000000000"/>
    <w:charset w:val="00"/>
    <w:family w:val="swiss"/>
    <w:notTrueType/>
    <w:pitch w:val="variable"/>
    <w:sig w:usb0="800000AF" w:usb1="4000204A" w:usb2="00000000" w:usb3="00000000" w:csb0="00000001" w:csb1="00000000"/>
  </w:font>
  <w:font w:name="Avenir">
    <w:altName w:val="Calibri"/>
    <w:panose1 w:val="00000000000000000000"/>
    <w:charset w:val="4D"/>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D175A" w14:textId="3D3D27B3" w:rsidR="00510788" w:rsidRPr="00877F08" w:rsidRDefault="00510788" w:rsidP="00510788">
    <w:pPr>
      <w:pStyle w:val="Footer"/>
    </w:pPr>
    <w:r w:rsidRPr="00877F08">
      <w:rPr>
        <w:sz w:val="20"/>
        <w:szCs w:val="20"/>
      </w:rPr>
      <w:t>VARAM</w:t>
    </w:r>
    <w:r>
      <w:rPr>
        <w:sz w:val="20"/>
        <w:szCs w:val="20"/>
      </w:rPr>
      <w:t>N</w:t>
    </w:r>
    <w:r w:rsidRPr="00877F08">
      <w:rPr>
        <w:sz w:val="20"/>
        <w:szCs w:val="20"/>
      </w:rPr>
      <w:t xml:space="preserve">ot_ZPI; Ministru kabineta noteikumu </w:t>
    </w:r>
    <w:r>
      <w:rPr>
        <w:sz w:val="20"/>
        <w:szCs w:val="20"/>
      </w:rPr>
      <w:t xml:space="preserve">grozījumu </w:t>
    </w:r>
    <w:r w:rsidRPr="00877F08">
      <w:rPr>
        <w:sz w:val="20"/>
        <w:szCs w:val="20"/>
      </w:rPr>
      <w:t>projekt</w:t>
    </w:r>
    <w:r>
      <w:rPr>
        <w:sz w:val="20"/>
        <w:szCs w:val="20"/>
      </w:rPr>
      <w:t>s</w:t>
    </w:r>
    <w:r w:rsidRPr="00877F08">
      <w:rPr>
        <w:sz w:val="20"/>
        <w:szCs w:val="20"/>
      </w:rPr>
      <w:t xml:space="preserve"> „Prasības zaļajam publiskajam iepirkumam un tā piemērošanas kārtība” </w:t>
    </w:r>
  </w:p>
  <w:p w14:paraId="16CE73E5" w14:textId="51FD5589" w:rsidR="00510788" w:rsidRDefault="00510788">
    <w:pPr>
      <w:pStyle w:val="Footer"/>
    </w:pPr>
  </w:p>
  <w:p w14:paraId="1A964EBD" w14:textId="77777777" w:rsidR="00510788" w:rsidRDefault="00510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5F2D2" w14:textId="77777777" w:rsidR="00BE7560" w:rsidRDefault="00BE7560" w:rsidP="00E42991">
      <w:pPr>
        <w:spacing w:after="0" w:line="240" w:lineRule="auto"/>
      </w:pPr>
      <w:r>
        <w:separator/>
      </w:r>
    </w:p>
  </w:footnote>
  <w:footnote w:type="continuationSeparator" w:id="0">
    <w:p w14:paraId="5F138A5F" w14:textId="77777777" w:rsidR="00BE7560" w:rsidRDefault="00BE7560" w:rsidP="00E42991">
      <w:pPr>
        <w:spacing w:after="0" w:line="240" w:lineRule="auto"/>
      </w:pPr>
      <w:r>
        <w:continuationSeparator/>
      </w:r>
    </w:p>
  </w:footnote>
  <w:footnote w:id="1">
    <w:p w14:paraId="356FF8F8" w14:textId="77777777" w:rsidR="00F90660" w:rsidRPr="00DC3D68" w:rsidRDefault="00F90660" w:rsidP="00F90660">
      <w:pPr>
        <w:pStyle w:val="FootnoteText"/>
        <w:rPr>
          <w:rFonts w:cstheme="minorHAnsi"/>
          <w:sz w:val="18"/>
          <w:szCs w:val="18"/>
        </w:rPr>
      </w:pPr>
      <w:r w:rsidRPr="00DC3D68">
        <w:rPr>
          <w:rStyle w:val="FootnoteReference"/>
          <w:rFonts w:cstheme="minorHAnsi"/>
          <w:sz w:val="18"/>
          <w:szCs w:val="18"/>
        </w:rPr>
        <w:footnoteRef/>
      </w:r>
      <w:r w:rsidRPr="00DC3D68">
        <w:rPr>
          <w:rFonts w:cstheme="minorHAnsi"/>
          <w:sz w:val="18"/>
          <w:szCs w:val="18"/>
        </w:rPr>
        <w:t xml:space="preserve"> Saskaņā ar Ministru kabineta 2018.</w:t>
      </w:r>
      <w:r>
        <w:rPr>
          <w:rFonts w:cstheme="minorHAnsi"/>
          <w:sz w:val="18"/>
          <w:szCs w:val="18"/>
        </w:rPr>
        <w:t> </w:t>
      </w:r>
      <w:r w:rsidRPr="00DC3D68">
        <w:rPr>
          <w:rFonts w:cstheme="minorHAnsi"/>
          <w:sz w:val="18"/>
          <w:szCs w:val="18"/>
        </w:rPr>
        <w:t>gada 28.</w:t>
      </w:r>
      <w:r>
        <w:rPr>
          <w:rFonts w:cstheme="minorHAnsi"/>
          <w:sz w:val="18"/>
          <w:szCs w:val="18"/>
        </w:rPr>
        <w:t> a</w:t>
      </w:r>
      <w:r w:rsidRPr="00DC3D68">
        <w:rPr>
          <w:rFonts w:cstheme="minorHAnsi"/>
          <w:sz w:val="18"/>
          <w:szCs w:val="18"/>
        </w:rPr>
        <w:t>ugusta noteikumiem Nr</w:t>
      </w:r>
      <w:r>
        <w:rPr>
          <w:rFonts w:cstheme="minorHAnsi"/>
          <w:sz w:val="18"/>
          <w:szCs w:val="18"/>
        </w:rPr>
        <w:t>. </w:t>
      </w:r>
      <w:r w:rsidRPr="00DC3D68">
        <w:rPr>
          <w:rFonts w:cstheme="minorHAnsi"/>
          <w:sz w:val="18"/>
          <w:szCs w:val="18"/>
        </w:rPr>
        <w:t>545 “Būvniecības ieceres dokumentācijas markas” pielikumu - apkures, ventilācijas un gaisa kondicionēšanas sistēmas projekts.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5" type="#_x0000_t75" style="width:22.45pt;height:26.5pt" o:bullet="t">
        <v:imagedata r:id="rId1" o:title="Gateway-and-partners-checkmark"/>
      </v:shape>
    </w:pict>
  </w:numPicBullet>
  <w:abstractNum w:abstractNumId="0" w15:restartNumberingAfterBreak="0">
    <w:nsid w:val="22677410"/>
    <w:multiLevelType w:val="multilevel"/>
    <w:tmpl w:val="6CA4682C"/>
    <w:lvl w:ilvl="0">
      <w:start w:val="1"/>
      <w:numFmt w:val="none"/>
      <w:lvlText w:val="%1"/>
      <w:lvlJc w:val="left"/>
      <w:pPr>
        <w:tabs>
          <w:tab w:val="num" w:pos="0"/>
        </w:tabs>
        <w:ind w:left="907" w:hanging="907"/>
      </w:pPr>
      <w:rPr>
        <w:rFonts w:hint="default"/>
      </w:rPr>
    </w:lvl>
    <w:lvl w:ilvl="1">
      <w:start w:val="1"/>
      <w:numFmt w:val="none"/>
      <w:pStyle w:val="Time"/>
      <w:suff w:val="nothing"/>
      <w:lvlText w:val=""/>
      <w:lvlJc w:val="left"/>
      <w:pPr>
        <w:ind w:left="1304" w:hanging="94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D31787B"/>
    <w:multiLevelType w:val="multilevel"/>
    <w:tmpl w:val="0809001D"/>
    <w:styleLink w:val="Timebullet1"/>
    <w:lvl w:ilvl="0">
      <w:start w:val="1"/>
      <w:numFmt w:val="none"/>
      <w:lvlText w:val="%1"/>
      <w:lvlJc w:val="left"/>
      <w:pPr>
        <w:ind w:left="1080" w:hanging="360"/>
      </w:pPr>
      <w:rPr>
        <w:rFonts w:ascii="Avenir Heavy" w:hAnsi="Avenir Heavy" w:hint="default"/>
        <w:b w:val="0"/>
        <w:bCs/>
        <w:i w:val="0"/>
        <w:iCs w:val="0"/>
        <w:color w:val="595959" w:themeColor="text1" w:themeTint="A6"/>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AA76323"/>
    <w:multiLevelType w:val="multilevel"/>
    <w:tmpl w:val="24567EE6"/>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40024300"/>
    <w:multiLevelType w:val="hybridMultilevel"/>
    <w:tmpl w:val="9A78737A"/>
    <w:lvl w:ilvl="0" w:tplc="A7C6DC84">
      <w:start w:val="1"/>
      <w:numFmt w:val="bullet"/>
      <w:pStyle w:val="GPLis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B3AAC"/>
    <w:multiLevelType w:val="hybridMultilevel"/>
    <w:tmpl w:val="61243460"/>
    <w:lvl w:ilvl="0" w:tplc="77D6BFBE">
      <w:start w:val="1"/>
      <w:numFmt w:val="lowerLetter"/>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5" w15:restartNumberingAfterBreak="0">
    <w:nsid w:val="53E84436"/>
    <w:multiLevelType w:val="hybridMultilevel"/>
    <w:tmpl w:val="1222E7AC"/>
    <w:lvl w:ilvl="0" w:tplc="08090001">
      <w:start w:val="1"/>
      <w:numFmt w:val="bullet"/>
      <w:lvlText w:val=""/>
      <w:lvlJc w:val="left"/>
      <w:pPr>
        <w:ind w:left="1648" w:hanging="360"/>
      </w:pPr>
      <w:rPr>
        <w:rFonts w:ascii="Symbol" w:hAnsi="Symbol" w:hint="default"/>
      </w:rPr>
    </w:lvl>
    <w:lvl w:ilvl="1" w:tplc="04260003" w:tentative="1">
      <w:start w:val="1"/>
      <w:numFmt w:val="bullet"/>
      <w:lvlText w:val="o"/>
      <w:lvlJc w:val="left"/>
      <w:pPr>
        <w:ind w:left="2368" w:hanging="360"/>
      </w:pPr>
      <w:rPr>
        <w:rFonts w:ascii="Courier New" w:hAnsi="Courier New" w:cs="Courier New" w:hint="default"/>
      </w:rPr>
    </w:lvl>
    <w:lvl w:ilvl="2" w:tplc="04260005" w:tentative="1">
      <w:start w:val="1"/>
      <w:numFmt w:val="bullet"/>
      <w:lvlText w:val=""/>
      <w:lvlJc w:val="left"/>
      <w:pPr>
        <w:ind w:left="3088" w:hanging="360"/>
      </w:pPr>
      <w:rPr>
        <w:rFonts w:ascii="Wingdings" w:hAnsi="Wingdings" w:hint="default"/>
      </w:rPr>
    </w:lvl>
    <w:lvl w:ilvl="3" w:tplc="04260001" w:tentative="1">
      <w:start w:val="1"/>
      <w:numFmt w:val="bullet"/>
      <w:lvlText w:val=""/>
      <w:lvlJc w:val="left"/>
      <w:pPr>
        <w:ind w:left="3808" w:hanging="360"/>
      </w:pPr>
      <w:rPr>
        <w:rFonts w:ascii="Symbol" w:hAnsi="Symbol" w:hint="default"/>
      </w:rPr>
    </w:lvl>
    <w:lvl w:ilvl="4" w:tplc="04260003" w:tentative="1">
      <w:start w:val="1"/>
      <w:numFmt w:val="bullet"/>
      <w:lvlText w:val="o"/>
      <w:lvlJc w:val="left"/>
      <w:pPr>
        <w:ind w:left="4528" w:hanging="360"/>
      </w:pPr>
      <w:rPr>
        <w:rFonts w:ascii="Courier New" w:hAnsi="Courier New" w:cs="Courier New" w:hint="default"/>
      </w:rPr>
    </w:lvl>
    <w:lvl w:ilvl="5" w:tplc="04260005" w:tentative="1">
      <w:start w:val="1"/>
      <w:numFmt w:val="bullet"/>
      <w:lvlText w:val=""/>
      <w:lvlJc w:val="left"/>
      <w:pPr>
        <w:ind w:left="5248" w:hanging="360"/>
      </w:pPr>
      <w:rPr>
        <w:rFonts w:ascii="Wingdings" w:hAnsi="Wingdings" w:hint="default"/>
      </w:rPr>
    </w:lvl>
    <w:lvl w:ilvl="6" w:tplc="04260001" w:tentative="1">
      <w:start w:val="1"/>
      <w:numFmt w:val="bullet"/>
      <w:lvlText w:val=""/>
      <w:lvlJc w:val="left"/>
      <w:pPr>
        <w:ind w:left="5968" w:hanging="360"/>
      </w:pPr>
      <w:rPr>
        <w:rFonts w:ascii="Symbol" w:hAnsi="Symbol" w:hint="default"/>
      </w:rPr>
    </w:lvl>
    <w:lvl w:ilvl="7" w:tplc="04260003" w:tentative="1">
      <w:start w:val="1"/>
      <w:numFmt w:val="bullet"/>
      <w:lvlText w:val="o"/>
      <w:lvlJc w:val="left"/>
      <w:pPr>
        <w:ind w:left="6688" w:hanging="360"/>
      </w:pPr>
      <w:rPr>
        <w:rFonts w:ascii="Courier New" w:hAnsi="Courier New" w:cs="Courier New" w:hint="default"/>
      </w:rPr>
    </w:lvl>
    <w:lvl w:ilvl="8" w:tplc="04260005" w:tentative="1">
      <w:start w:val="1"/>
      <w:numFmt w:val="bullet"/>
      <w:lvlText w:val=""/>
      <w:lvlJc w:val="left"/>
      <w:pPr>
        <w:ind w:left="7408" w:hanging="360"/>
      </w:pPr>
      <w:rPr>
        <w:rFonts w:ascii="Wingdings" w:hAnsi="Wingdings" w:hint="default"/>
      </w:rPr>
    </w:lvl>
  </w:abstractNum>
  <w:abstractNum w:abstractNumId="6" w15:restartNumberingAfterBreak="0">
    <w:nsid w:val="664E119F"/>
    <w:multiLevelType w:val="multilevel"/>
    <w:tmpl w:val="F1FCE9A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pStyle w:val="Heading41"/>
      <w:lvlText w:val="%1.%2.%3.%4."/>
      <w:lvlJc w:val="left"/>
      <w:pPr>
        <w:ind w:left="1440" w:hanging="14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6A6459B2"/>
    <w:multiLevelType w:val="hybridMultilevel"/>
    <w:tmpl w:val="6C767B88"/>
    <w:lvl w:ilvl="0" w:tplc="773247DC">
      <w:start w:val="1"/>
      <w:numFmt w:val="decimal"/>
      <w:lvlText w:val="%1."/>
      <w:lvlJc w:val="left"/>
      <w:pPr>
        <w:ind w:left="928"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76388370">
    <w:abstractNumId w:val="7"/>
  </w:num>
  <w:num w:numId="2" w16cid:durableId="1431663221">
    <w:abstractNumId w:val="4"/>
  </w:num>
  <w:num w:numId="3" w16cid:durableId="1815490341">
    <w:abstractNumId w:val="2"/>
  </w:num>
  <w:num w:numId="4" w16cid:durableId="437413040">
    <w:abstractNumId w:val="6"/>
  </w:num>
  <w:num w:numId="5" w16cid:durableId="1598555460">
    <w:abstractNumId w:val="1"/>
  </w:num>
  <w:num w:numId="6" w16cid:durableId="630943250">
    <w:abstractNumId w:val="0"/>
  </w:num>
  <w:num w:numId="7" w16cid:durableId="174342501">
    <w:abstractNumId w:val="3"/>
  </w:num>
  <w:num w:numId="8" w16cid:durableId="202697371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F7"/>
    <w:rsid w:val="0000728D"/>
    <w:rsid w:val="0001304E"/>
    <w:rsid w:val="000713A9"/>
    <w:rsid w:val="0008401D"/>
    <w:rsid w:val="000F726B"/>
    <w:rsid w:val="001249E7"/>
    <w:rsid w:val="00143E47"/>
    <w:rsid w:val="00147B0B"/>
    <w:rsid w:val="00147ECB"/>
    <w:rsid w:val="001713B7"/>
    <w:rsid w:val="0018082D"/>
    <w:rsid w:val="001C3B2C"/>
    <w:rsid w:val="001D383E"/>
    <w:rsid w:val="0021166A"/>
    <w:rsid w:val="002246F1"/>
    <w:rsid w:val="0024691F"/>
    <w:rsid w:val="00256E8F"/>
    <w:rsid w:val="00286836"/>
    <w:rsid w:val="002C0A35"/>
    <w:rsid w:val="002C3191"/>
    <w:rsid w:val="002C4709"/>
    <w:rsid w:val="002F6EB1"/>
    <w:rsid w:val="0030060E"/>
    <w:rsid w:val="003051F7"/>
    <w:rsid w:val="00315EC7"/>
    <w:rsid w:val="00356D8B"/>
    <w:rsid w:val="00362706"/>
    <w:rsid w:val="0036688C"/>
    <w:rsid w:val="003956EF"/>
    <w:rsid w:val="003F3A2A"/>
    <w:rsid w:val="003F403F"/>
    <w:rsid w:val="00405D73"/>
    <w:rsid w:val="00420336"/>
    <w:rsid w:val="00420E21"/>
    <w:rsid w:val="00452CE5"/>
    <w:rsid w:val="004533A1"/>
    <w:rsid w:val="004558F8"/>
    <w:rsid w:val="00457AC0"/>
    <w:rsid w:val="00491C2C"/>
    <w:rsid w:val="004938FB"/>
    <w:rsid w:val="004D0EF3"/>
    <w:rsid w:val="004D4E1A"/>
    <w:rsid w:val="004D6E87"/>
    <w:rsid w:val="004F0D55"/>
    <w:rsid w:val="00506E21"/>
    <w:rsid w:val="005076AD"/>
    <w:rsid w:val="00510788"/>
    <w:rsid w:val="005162C1"/>
    <w:rsid w:val="00524038"/>
    <w:rsid w:val="00541638"/>
    <w:rsid w:val="005476E7"/>
    <w:rsid w:val="00554031"/>
    <w:rsid w:val="005631AA"/>
    <w:rsid w:val="00570226"/>
    <w:rsid w:val="00583549"/>
    <w:rsid w:val="005861A5"/>
    <w:rsid w:val="00597263"/>
    <w:rsid w:val="005A3C65"/>
    <w:rsid w:val="005B2B34"/>
    <w:rsid w:val="005B56FD"/>
    <w:rsid w:val="005C0A4C"/>
    <w:rsid w:val="005D1DBF"/>
    <w:rsid w:val="005D258E"/>
    <w:rsid w:val="005E2DD0"/>
    <w:rsid w:val="0064199A"/>
    <w:rsid w:val="006455B9"/>
    <w:rsid w:val="006577FF"/>
    <w:rsid w:val="0067328E"/>
    <w:rsid w:val="006744E9"/>
    <w:rsid w:val="00680660"/>
    <w:rsid w:val="00681873"/>
    <w:rsid w:val="00681F21"/>
    <w:rsid w:val="00682DFD"/>
    <w:rsid w:val="006A43C1"/>
    <w:rsid w:val="006B2197"/>
    <w:rsid w:val="006B485F"/>
    <w:rsid w:val="006C2D2D"/>
    <w:rsid w:val="006D3F12"/>
    <w:rsid w:val="006E6AF3"/>
    <w:rsid w:val="006F3AAC"/>
    <w:rsid w:val="00711445"/>
    <w:rsid w:val="007150D5"/>
    <w:rsid w:val="00727595"/>
    <w:rsid w:val="00750266"/>
    <w:rsid w:val="00754F88"/>
    <w:rsid w:val="007935DF"/>
    <w:rsid w:val="007F2E12"/>
    <w:rsid w:val="007F419C"/>
    <w:rsid w:val="008113A0"/>
    <w:rsid w:val="00856DB7"/>
    <w:rsid w:val="00857760"/>
    <w:rsid w:val="00857CA8"/>
    <w:rsid w:val="00870697"/>
    <w:rsid w:val="008969C2"/>
    <w:rsid w:val="008A4ADD"/>
    <w:rsid w:val="008B1CD6"/>
    <w:rsid w:val="008C47DC"/>
    <w:rsid w:val="008C5F46"/>
    <w:rsid w:val="008C6F6F"/>
    <w:rsid w:val="00923629"/>
    <w:rsid w:val="00924D4E"/>
    <w:rsid w:val="00945FE1"/>
    <w:rsid w:val="00947121"/>
    <w:rsid w:val="00953505"/>
    <w:rsid w:val="00965C56"/>
    <w:rsid w:val="00966996"/>
    <w:rsid w:val="00972596"/>
    <w:rsid w:val="00992EAD"/>
    <w:rsid w:val="0099563F"/>
    <w:rsid w:val="009B3D6A"/>
    <w:rsid w:val="009E3C50"/>
    <w:rsid w:val="009F27FF"/>
    <w:rsid w:val="00A157A2"/>
    <w:rsid w:val="00A2130E"/>
    <w:rsid w:val="00A25DD3"/>
    <w:rsid w:val="00A3386B"/>
    <w:rsid w:val="00A43628"/>
    <w:rsid w:val="00A82C3E"/>
    <w:rsid w:val="00AB55BA"/>
    <w:rsid w:val="00B11DB6"/>
    <w:rsid w:val="00B3102C"/>
    <w:rsid w:val="00B35F74"/>
    <w:rsid w:val="00B67D6A"/>
    <w:rsid w:val="00BB2226"/>
    <w:rsid w:val="00BB2CE8"/>
    <w:rsid w:val="00BE6AF7"/>
    <w:rsid w:val="00BE7560"/>
    <w:rsid w:val="00C02962"/>
    <w:rsid w:val="00C03337"/>
    <w:rsid w:val="00C13481"/>
    <w:rsid w:val="00C215C9"/>
    <w:rsid w:val="00C74498"/>
    <w:rsid w:val="00C84C58"/>
    <w:rsid w:val="00C86F6B"/>
    <w:rsid w:val="00C91C24"/>
    <w:rsid w:val="00CB20E7"/>
    <w:rsid w:val="00CD0089"/>
    <w:rsid w:val="00CE36EA"/>
    <w:rsid w:val="00CE48B3"/>
    <w:rsid w:val="00CF1590"/>
    <w:rsid w:val="00D00870"/>
    <w:rsid w:val="00D1737D"/>
    <w:rsid w:val="00D1777C"/>
    <w:rsid w:val="00D5592B"/>
    <w:rsid w:val="00D61CD7"/>
    <w:rsid w:val="00D74B3B"/>
    <w:rsid w:val="00D765B1"/>
    <w:rsid w:val="00D96A81"/>
    <w:rsid w:val="00DA5857"/>
    <w:rsid w:val="00E1010E"/>
    <w:rsid w:val="00E42991"/>
    <w:rsid w:val="00E448CD"/>
    <w:rsid w:val="00E571A1"/>
    <w:rsid w:val="00E6436E"/>
    <w:rsid w:val="00E6748F"/>
    <w:rsid w:val="00E67D70"/>
    <w:rsid w:val="00E738A8"/>
    <w:rsid w:val="00EA5C99"/>
    <w:rsid w:val="00EB1427"/>
    <w:rsid w:val="00EB2FE4"/>
    <w:rsid w:val="00ED11E5"/>
    <w:rsid w:val="00ED2F9D"/>
    <w:rsid w:val="00F05165"/>
    <w:rsid w:val="00F23E0F"/>
    <w:rsid w:val="00F34D2E"/>
    <w:rsid w:val="00F420A3"/>
    <w:rsid w:val="00F466A6"/>
    <w:rsid w:val="00F46C91"/>
    <w:rsid w:val="00F5730A"/>
    <w:rsid w:val="00F90660"/>
    <w:rsid w:val="00F90951"/>
    <w:rsid w:val="00FA6297"/>
    <w:rsid w:val="00FA7626"/>
    <w:rsid w:val="00FB0152"/>
    <w:rsid w:val="00FC6BA4"/>
    <w:rsid w:val="00FD4160"/>
    <w:rsid w:val="00FD4EAC"/>
    <w:rsid w:val="00FD7934"/>
    <w:rsid w:val="00FE4697"/>
    <w:rsid w:val="00FF02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D2911"/>
  <w15:chartTrackingRefBased/>
  <w15:docId w15:val="{3B1B3476-C5D6-4C66-90AF-35D9E197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660"/>
    <w:pPr>
      <w:keepNext/>
      <w:keepLines/>
      <w:spacing w:before="240" w:after="0"/>
      <w:outlineLvl w:val="0"/>
    </w:pPr>
    <w:rPr>
      <w:rFonts w:eastAsia="MS Gothic" w:cs="Times New Roman"/>
      <w:b/>
      <w:sz w:val="28"/>
      <w:szCs w:val="32"/>
      <w:lang w:val="en-US"/>
    </w:rPr>
  </w:style>
  <w:style w:type="paragraph" w:styleId="Heading2">
    <w:name w:val="heading 2"/>
    <w:basedOn w:val="Normal"/>
    <w:next w:val="Normal"/>
    <w:link w:val="Heading2Char"/>
    <w:uiPriority w:val="9"/>
    <w:qFormat/>
    <w:rsid w:val="00F90660"/>
    <w:pPr>
      <w:keepNext/>
      <w:keepLines/>
      <w:suppressAutoHyphens/>
      <w:autoSpaceDN w:val="0"/>
      <w:spacing w:before="200" w:after="0" w:line="240" w:lineRule="auto"/>
      <w:textAlignment w:val="baseline"/>
      <w:outlineLvl w:val="1"/>
    </w:pPr>
    <w:rPr>
      <w:rFonts w:ascii="Calibri Light" w:eastAsia="Times New Roman" w:hAnsi="Calibri Light" w:cs="Times New Roman"/>
      <w:b/>
      <w:bCs/>
      <w:color w:val="5B9BD5"/>
      <w:sz w:val="26"/>
      <w:szCs w:val="26"/>
      <w:lang w:val="en-US"/>
    </w:rPr>
  </w:style>
  <w:style w:type="paragraph" w:styleId="Heading3">
    <w:name w:val="heading 3"/>
    <w:basedOn w:val="Normal"/>
    <w:next w:val="Normal"/>
    <w:link w:val="Heading3Char"/>
    <w:uiPriority w:val="9"/>
    <w:qFormat/>
    <w:rsid w:val="00F90660"/>
    <w:pPr>
      <w:keepNext/>
      <w:keepLines/>
      <w:suppressAutoHyphens/>
      <w:autoSpaceDN w:val="0"/>
      <w:spacing w:before="200" w:after="0" w:line="240" w:lineRule="auto"/>
      <w:textAlignment w:val="baseline"/>
      <w:outlineLvl w:val="2"/>
    </w:pPr>
    <w:rPr>
      <w:rFonts w:ascii="Calibri Light" w:eastAsia="Times New Roman" w:hAnsi="Calibri Light" w:cs="Times New Roman"/>
      <w:b/>
      <w:bCs/>
      <w:color w:val="5B9BD5"/>
      <w:sz w:val="24"/>
      <w:szCs w:val="24"/>
      <w:lang w:val="en-US"/>
    </w:rPr>
  </w:style>
  <w:style w:type="paragraph" w:styleId="Heading4">
    <w:name w:val="heading 4"/>
    <w:basedOn w:val="Normal"/>
    <w:next w:val="Normal"/>
    <w:link w:val="Heading4Char"/>
    <w:uiPriority w:val="9"/>
    <w:unhideWhenUsed/>
    <w:qFormat/>
    <w:rsid w:val="00F90660"/>
    <w:pPr>
      <w:keepNext/>
      <w:keepLines/>
      <w:spacing w:before="40" w:after="0"/>
      <w:outlineLvl w:val="3"/>
    </w:pPr>
    <w:rPr>
      <w:rFonts w:ascii="Cambria" w:eastAsia="MS Gothic" w:hAnsi="Cambria" w:cs="Times New Roman"/>
      <w:i/>
      <w:iCs/>
      <w:color w:val="365F91"/>
      <w:sz w:val="24"/>
      <w:szCs w:val="24"/>
      <w:lang w:val="en-US"/>
    </w:rPr>
  </w:style>
  <w:style w:type="paragraph" w:styleId="Heading5">
    <w:name w:val="heading 5"/>
    <w:basedOn w:val="Normal"/>
    <w:next w:val="Normal"/>
    <w:link w:val="Heading5Char"/>
    <w:uiPriority w:val="9"/>
    <w:unhideWhenUsed/>
    <w:qFormat/>
    <w:rsid w:val="00F90660"/>
    <w:pPr>
      <w:keepNext/>
      <w:keepLines/>
      <w:spacing w:before="40" w:after="0" w:line="240" w:lineRule="auto"/>
      <w:outlineLvl w:val="4"/>
    </w:pPr>
    <w:rPr>
      <w:rFonts w:ascii="Calibri Light" w:eastAsia="Times New Roman" w:hAnsi="Calibri Light" w:cs="Times New Roman"/>
      <w:color w:val="44546A"/>
      <w:sz w:val="20"/>
      <w:szCs w:val="20"/>
      <w:lang w:eastAsia="lv-LV"/>
    </w:rPr>
  </w:style>
  <w:style w:type="paragraph" w:styleId="Heading6">
    <w:name w:val="heading 6"/>
    <w:basedOn w:val="Normal"/>
    <w:next w:val="Normal"/>
    <w:link w:val="Heading6Char"/>
    <w:uiPriority w:val="9"/>
    <w:semiHidden/>
    <w:unhideWhenUsed/>
    <w:qFormat/>
    <w:rsid w:val="00F90660"/>
    <w:pPr>
      <w:keepNext/>
      <w:keepLines/>
      <w:spacing w:before="40" w:after="0" w:line="240" w:lineRule="auto"/>
      <w:outlineLvl w:val="5"/>
    </w:pPr>
    <w:rPr>
      <w:rFonts w:ascii="Calibri Light" w:eastAsia="Times New Roman" w:hAnsi="Calibri Light" w:cs="Times New Roman"/>
      <w:i/>
      <w:iCs/>
      <w:color w:val="44546A"/>
      <w:sz w:val="21"/>
      <w:szCs w:val="21"/>
      <w:lang w:eastAsia="lv-LV"/>
    </w:rPr>
  </w:style>
  <w:style w:type="paragraph" w:styleId="Heading7">
    <w:name w:val="heading 7"/>
    <w:basedOn w:val="Normal"/>
    <w:next w:val="Normal"/>
    <w:link w:val="Heading7Char"/>
    <w:uiPriority w:val="9"/>
    <w:semiHidden/>
    <w:unhideWhenUsed/>
    <w:qFormat/>
    <w:rsid w:val="00F90660"/>
    <w:pPr>
      <w:keepNext/>
      <w:keepLines/>
      <w:spacing w:before="40" w:after="0" w:line="240" w:lineRule="auto"/>
      <w:outlineLvl w:val="6"/>
    </w:pPr>
    <w:rPr>
      <w:rFonts w:ascii="Calibri Light" w:eastAsia="Times New Roman" w:hAnsi="Calibri Light" w:cs="Times New Roman"/>
      <w:i/>
      <w:iCs/>
      <w:color w:val="1F3864"/>
      <w:sz w:val="21"/>
      <w:szCs w:val="21"/>
      <w:lang w:eastAsia="lv-LV"/>
    </w:rPr>
  </w:style>
  <w:style w:type="paragraph" w:styleId="Heading8">
    <w:name w:val="heading 8"/>
    <w:basedOn w:val="Normal"/>
    <w:next w:val="Normal"/>
    <w:link w:val="Heading8Char"/>
    <w:uiPriority w:val="9"/>
    <w:semiHidden/>
    <w:unhideWhenUsed/>
    <w:qFormat/>
    <w:rsid w:val="00F90660"/>
    <w:pPr>
      <w:keepNext/>
      <w:keepLines/>
      <w:spacing w:before="40" w:after="0" w:line="240" w:lineRule="auto"/>
      <w:outlineLvl w:val="7"/>
    </w:pPr>
    <w:rPr>
      <w:rFonts w:ascii="Calibri Light" w:eastAsia="Times New Roman" w:hAnsi="Calibri Light" w:cs="Times New Roman"/>
      <w:b/>
      <w:bCs/>
      <w:color w:val="44546A"/>
      <w:sz w:val="20"/>
      <w:szCs w:val="20"/>
      <w:lang w:eastAsia="lv-LV"/>
    </w:rPr>
  </w:style>
  <w:style w:type="paragraph" w:styleId="Heading9">
    <w:name w:val="heading 9"/>
    <w:basedOn w:val="Normal"/>
    <w:next w:val="Normal"/>
    <w:link w:val="Heading9Char"/>
    <w:uiPriority w:val="9"/>
    <w:semiHidden/>
    <w:unhideWhenUsed/>
    <w:qFormat/>
    <w:rsid w:val="00F90660"/>
    <w:pPr>
      <w:keepNext/>
      <w:keepLines/>
      <w:spacing w:before="40" w:after="0" w:line="240" w:lineRule="auto"/>
      <w:outlineLvl w:val="8"/>
    </w:pPr>
    <w:rPr>
      <w:rFonts w:ascii="Calibri Light" w:eastAsia="Times New Roman" w:hAnsi="Calibri Light" w:cs="Times New Roman"/>
      <w:b/>
      <w:bCs/>
      <w:i/>
      <w:iCs/>
      <w:color w:val="44546A"/>
      <w:sz w:val="20"/>
      <w:szCs w:val="20"/>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yle 1,Strip,H&amp;P List Paragraph,2,Virsraksti,Normal bullet 2,Bullet list,Numbered Para 1,Dot pt,No Spacing1,List Paragraph Char Char Char,Indicator Text,List Paragraph1,Bullet Points,MAIN CONTENT,IFCL - List Paragraph,List Paragraph12"/>
    <w:basedOn w:val="Normal"/>
    <w:uiPriority w:val="34"/>
    <w:qFormat/>
    <w:rsid w:val="00856DB7"/>
    <w:pPr>
      <w:ind w:left="720"/>
      <w:contextualSpacing/>
    </w:pPr>
  </w:style>
  <w:style w:type="paragraph" w:styleId="BalloonText">
    <w:name w:val="Balloon Text"/>
    <w:basedOn w:val="Normal"/>
    <w:link w:val="BalloonTextChar"/>
    <w:unhideWhenUsed/>
    <w:rsid w:val="00E67D70"/>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rsid w:val="00E67D70"/>
    <w:rPr>
      <w:rFonts w:ascii="Segoe UI" w:hAnsi="Segoe UI" w:cs="Segoe UI"/>
      <w:sz w:val="18"/>
      <w:szCs w:val="18"/>
      <w:lang w:val="en-US"/>
    </w:rPr>
  </w:style>
  <w:style w:type="character" w:customStyle="1" w:styleId="Heading1Char">
    <w:name w:val="Heading 1 Char"/>
    <w:basedOn w:val="DefaultParagraphFont"/>
    <w:link w:val="Heading1"/>
    <w:uiPriority w:val="9"/>
    <w:rsid w:val="00F90660"/>
    <w:rPr>
      <w:rFonts w:eastAsia="MS Gothic" w:cs="Times New Roman"/>
      <w:b/>
      <w:sz w:val="28"/>
      <w:szCs w:val="32"/>
      <w:lang w:val="en-US"/>
    </w:rPr>
  </w:style>
  <w:style w:type="character" w:customStyle="1" w:styleId="Heading2Char">
    <w:name w:val="Heading 2 Char"/>
    <w:basedOn w:val="DefaultParagraphFont"/>
    <w:link w:val="Heading2"/>
    <w:uiPriority w:val="9"/>
    <w:rsid w:val="00F90660"/>
    <w:rPr>
      <w:rFonts w:ascii="Calibri Light" w:eastAsia="Times New Roman" w:hAnsi="Calibri Light" w:cs="Times New Roman"/>
      <w:b/>
      <w:bCs/>
      <w:color w:val="5B9BD5"/>
      <w:sz w:val="26"/>
      <w:szCs w:val="26"/>
      <w:lang w:val="en-US"/>
    </w:rPr>
  </w:style>
  <w:style w:type="character" w:customStyle="1" w:styleId="Heading3Char">
    <w:name w:val="Heading 3 Char"/>
    <w:basedOn w:val="DefaultParagraphFont"/>
    <w:link w:val="Heading3"/>
    <w:uiPriority w:val="9"/>
    <w:rsid w:val="00F90660"/>
    <w:rPr>
      <w:rFonts w:ascii="Calibri Light" w:eastAsia="Times New Roman" w:hAnsi="Calibri Light" w:cs="Times New Roman"/>
      <w:b/>
      <w:bCs/>
      <w:color w:val="5B9BD5"/>
      <w:sz w:val="24"/>
      <w:szCs w:val="24"/>
      <w:lang w:val="en-US"/>
    </w:rPr>
  </w:style>
  <w:style w:type="character" w:customStyle="1" w:styleId="Heading4Char">
    <w:name w:val="Heading 4 Char"/>
    <w:basedOn w:val="DefaultParagraphFont"/>
    <w:link w:val="Heading4"/>
    <w:uiPriority w:val="9"/>
    <w:rsid w:val="00F90660"/>
    <w:rPr>
      <w:rFonts w:ascii="Cambria" w:eastAsia="MS Gothic" w:hAnsi="Cambria" w:cs="Times New Roman"/>
      <w:i/>
      <w:iCs/>
      <w:color w:val="365F91"/>
      <w:sz w:val="24"/>
      <w:szCs w:val="24"/>
      <w:lang w:val="en-US"/>
    </w:rPr>
  </w:style>
  <w:style w:type="character" w:customStyle="1" w:styleId="Heading5Char">
    <w:name w:val="Heading 5 Char"/>
    <w:basedOn w:val="DefaultParagraphFont"/>
    <w:link w:val="Heading5"/>
    <w:uiPriority w:val="9"/>
    <w:rsid w:val="00F90660"/>
    <w:rPr>
      <w:rFonts w:ascii="Calibri Light" w:eastAsia="Times New Roman" w:hAnsi="Calibri Light" w:cs="Times New Roman"/>
      <w:color w:val="44546A"/>
      <w:sz w:val="20"/>
      <w:szCs w:val="20"/>
      <w:lang w:eastAsia="lv-LV"/>
    </w:rPr>
  </w:style>
  <w:style w:type="character" w:customStyle="1" w:styleId="Heading6Char">
    <w:name w:val="Heading 6 Char"/>
    <w:basedOn w:val="DefaultParagraphFont"/>
    <w:link w:val="Heading6"/>
    <w:uiPriority w:val="9"/>
    <w:semiHidden/>
    <w:rsid w:val="00F90660"/>
    <w:rPr>
      <w:rFonts w:ascii="Calibri Light" w:eastAsia="Times New Roman" w:hAnsi="Calibri Light" w:cs="Times New Roman"/>
      <w:i/>
      <w:iCs/>
      <w:color w:val="44546A"/>
      <w:sz w:val="21"/>
      <w:szCs w:val="21"/>
      <w:lang w:eastAsia="lv-LV"/>
    </w:rPr>
  </w:style>
  <w:style w:type="character" w:customStyle="1" w:styleId="Heading7Char">
    <w:name w:val="Heading 7 Char"/>
    <w:basedOn w:val="DefaultParagraphFont"/>
    <w:link w:val="Heading7"/>
    <w:uiPriority w:val="9"/>
    <w:semiHidden/>
    <w:rsid w:val="00F90660"/>
    <w:rPr>
      <w:rFonts w:ascii="Calibri Light" w:eastAsia="Times New Roman" w:hAnsi="Calibri Light" w:cs="Times New Roman"/>
      <w:i/>
      <w:iCs/>
      <w:color w:val="1F3864"/>
      <w:sz w:val="21"/>
      <w:szCs w:val="21"/>
      <w:lang w:eastAsia="lv-LV"/>
    </w:rPr>
  </w:style>
  <w:style w:type="character" w:customStyle="1" w:styleId="Heading8Char">
    <w:name w:val="Heading 8 Char"/>
    <w:basedOn w:val="DefaultParagraphFont"/>
    <w:link w:val="Heading8"/>
    <w:uiPriority w:val="9"/>
    <w:semiHidden/>
    <w:rsid w:val="00F90660"/>
    <w:rPr>
      <w:rFonts w:ascii="Calibri Light" w:eastAsia="Times New Roman" w:hAnsi="Calibri Light" w:cs="Times New Roman"/>
      <w:b/>
      <w:bCs/>
      <w:color w:val="44546A"/>
      <w:sz w:val="20"/>
      <w:szCs w:val="20"/>
      <w:lang w:eastAsia="lv-LV"/>
    </w:rPr>
  </w:style>
  <w:style w:type="character" w:customStyle="1" w:styleId="Heading9Char">
    <w:name w:val="Heading 9 Char"/>
    <w:basedOn w:val="DefaultParagraphFont"/>
    <w:link w:val="Heading9"/>
    <w:uiPriority w:val="9"/>
    <w:semiHidden/>
    <w:rsid w:val="00F90660"/>
    <w:rPr>
      <w:rFonts w:ascii="Calibri Light" w:eastAsia="Times New Roman" w:hAnsi="Calibri Light" w:cs="Times New Roman"/>
      <w:b/>
      <w:bCs/>
      <w:i/>
      <w:iCs/>
      <w:color w:val="44546A"/>
      <w:sz w:val="20"/>
      <w:szCs w:val="20"/>
      <w:lang w:eastAsia="lv-LV"/>
    </w:rPr>
  </w:style>
  <w:style w:type="numbering" w:customStyle="1" w:styleId="NoList1">
    <w:name w:val="No List1"/>
    <w:next w:val="NoList"/>
    <w:uiPriority w:val="99"/>
    <w:semiHidden/>
    <w:unhideWhenUsed/>
    <w:rsid w:val="00F90660"/>
  </w:style>
  <w:style w:type="character" w:styleId="Hyperlink">
    <w:name w:val="Hyperlink"/>
    <w:basedOn w:val="DefaultParagraphFont"/>
    <w:uiPriority w:val="99"/>
    <w:unhideWhenUsed/>
    <w:rsid w:val="00F90660"/>
    <w:rPr>
      <w:color w:val="0563C1" w:themeColor="hyperlink"/>
      <w:u w:val="single"/>
    </w:rPr>
  </w:style>
  <w:style w:type="character" w:customStyle="1" w:styleId="UnresolvedMention1">
    <w:name w:val="Unresolved Mention1"/>
    <w:basedOn w:val="DefaultParagraphFont"/>
    <w:uiPriority w:val="99"/>
    <w:semiHidden/>
    <w:unhideWhenUsed/>
    <w:rsid w:val="00F90660"/>
    <w:rPr>
      <w:color w:val="605E5C"/>
      <w:shd w:val="clear" w:color="auto" w:fill="E1DFDD"/>
    </w:rPr>
  </w:style>
  <w:style w:type="paragraph" w:customStyle="1" w:styleId="Heading11">
    <w:name w:val="Heading 11"/>
    <w:basedOn w:val="Normal"/>
    <w:next w:val="Normal"/>
    <w:qFormat/>
    <w:rsid w:val="00F90660"/>
    <w:pPr>
      <w:keepNext/>
      <w:keepLines/>
      <w:spacing w:before="240" w:after="0" w:line="240" w:lineRule="auto"/>
      <w:jc w:val="center"/>
      <w:outlineLvl w:val="0"/>
    </w:pPr>
    <w:rPr>
      <w:rFonts w:ascii="Times New Roman" w:eastAsia="MS Gothic" w:hAnsi="Times New Roman" w:cs="Times New Roman"/>
      <w:b/>
      <w:sz w:val="28"/>
      <w:szCs w:val="32"/>
      <w:lang w:eastAsia="lv-LV"/>
    </w:rPr>
  </w:style>
  <w:style w:type="paragraph" w:customStyle="1" w:styleId="Heading41">
    <w:name w:val="Heading 41"/>
    <w:basedOn w:val="Normal"/>
    <w:next w:val="Normal"/>
    <w:uiPriority w:val="9"/>
    <w:unhideWhenUsed/>
    <w:qFormat/>
    <w:rsid w:val="00F90660"/>
    <w:pPr>
      <w:keepNext/>
      <w:keepLines/>
      <w:numPr>
        <w:ilvl w:val="3"/>
        <w:numId w:val="4"/>
      </w:numPr>
      <w:spacing w:before="40" w:after="0" w:line="240" w:lineRule="auto"/>
      <w:ind w:left="0" w:firstLine="0"/>
      <w:outlineLvl w:val="3"/>
    </w:pPr>
    <w:rPr>
      <w:rFonts w:ascii="Cambria" w:eastAsia="MS Gothic" w:hAnsi="Cambria" w:cs="Times New Roman"/>
      <w:i/>
      <w:iCs/>
      <w:color w:val="365F91"/>
      <w:sz w:val="24"/>
      <w:szCs w:val="24"/>
      <w:lang w:eastAsia="lv-LV"/>
    </w:rPr>
  </w:style>
  <w:style w:type="numbering" w:customStyle="1" w:styleId="NoList11">
    <w:name w:val="No List11"/>
    <w:next w:val="NoList"/>
    <w:uiPriority w:val="99"/>
    <w:semiHidden/>
    <w:unhideWhenUsed/>
    <w:rsid w:val="00F90660"/>
  </w:style>
  <w:style w:type="paragraph" w:customStyle="1" w:styleId="naisf">
    <w:name w:val="naisf"/>
    <w:basedOn w:val="Normal"/>
    <w:rsid w:val="00F90660"/>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F90660"/>
    <w:pPr>
      <w:spacing w:before="450" w:after="225"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Normal"/>
    <w:rsid w:val="00F90660"/>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kr">
    <w:name w:val="naiskr"/>
    <w:basedOn w:val="Normal"/>
    <w:rsid w:val="00F90660"/>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F90660"/>
    <w:pPr>
      <w:spacing w:before="75" w:after="75" w:line="240" w:lineRule="auto"/>
      <w:jc w:val="center"/>
    </w:pPr>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F9066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F9066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F90660"/>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F90660"/>
    <w:rPr>
      <w:rFonts w:ascii="Times New Roman" w:eastAsia="Times New Roman" w:hAnsi="Times New Roman" w:cs="Times New Roman"/>
      <w:sz w:val="24"/>
      <w:szCs w:val="24"/>
      <w:lang w:eastAsia="lv-LV"/>
    </w:rPr>
  </w:style>
  <w:style w:type="character" w:styleId="PageNumber">
    <w:name w:val="page number"/>
    <w:basedOn w:val="DefaultParagraphFont"/>
    <w:rsid w:val="00F90660"/>
  </w:style>
  <w:style w:type="paragraph" w:customStyle="1" w:styleId="tv2131">
    <w:name w:val="tv2131"/>
    <w:basedOn w:val="Normal"/>
    <w:rsid w:val="00F90660"/>
    <w:pPr>
      <w:spacing w:before="240" w:after="0" w:line="360" w:lineRule="auto"/>
      <w:ind w:firstLine="259"/>
      <w:jc w:val="both"/>
    </w:pPr>
    <w:rPr>
      <w:rFonts w:ascii="Verdana" w:eastAsia="Times New Roman" w:hAnsi="Verdana" w:cs="Times New Roman"/>
      <w:sz w:val="16"/>
      <w:szCs w:val="16"/>
    </w:rPr>
  </w:style>
  <w:style w:type="paragraph" w:customStyle="1" w:styleId="tv2161">
    <w:name w:val="tv2161"/>
    <w:basedOn w:val="Normal"/>
    <w:rsid w:val="00F90660"/>
    <w:pPr>
      <w:spacing w:before="240" w:after="0" w:line="360" w:lineRule="auto"/>
      <w:ind w:firstLine="259"/>
      <w:jc w:val="right"/>
    </w:pPr>
    <w:rPr>
      <w:rFonts w:ascii="Verdana" w:eastAsia="Times New Roman" w:hAnsi="Verdana" w:cs="Times New Roman"/>
      <w:sz w:val="16"/>
      <w:szCs w:val="16"/>
    </w:rPr>
  </w:style>
  <w:style w:type="character" w:styleId="CommentReference">
    <w:name w:val="annotation reference"/>
    <w:uiPriority w:val="99"/>
    <w:rsid w:val="00F90660"/>
    <w:rPr>
      <w:sz w:val="16"/>
      <w:szCs w:val="16"/>
    </w:rPr>
  </w:style>
  <w:style w:type="paragraph" w:styleId="CommentText">
    <w:name w:val="annotation text"/>
    <w:basedOn w:val="Normal"/>
    <w:link w:val="CommentTextChar"/>
    <w:uiPriority w:val="99"/>
    <w:rsid w:val="00F90660"/>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F9066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F90660"/>
    <w:rPr>
      <w:b/>
      <w:bCs/>
    </w:rPr>
  </w:style>
  <w:style w:type="character" w:customStyle="1" w:styleId="CommentSubjectChar">
    <w:name w:val="Comment Subject Char"/>
    <w:basedOn w:val="CommentTextChar"/>
    <w:link w:val="CommentSubject"/>
    <w:uiPriority w:val="99"/>
    <w:rsid w:val="00F90660"/>
    <w:rPr>
      <w:rFonts w:ascii="Times New Roman" w:eastAsia="Times New Roman" w:hAnsi="Times New Roman" w:cs="Times New Roman"/>
      <w:b/>
      <w:bCs/>
      <w:sz w:val="20"/>
      <w:szCs w:val="20"/>
      <w:lang w:eastAsia="lv-LV"/>
    </w:rPr>
  </w:style>
  <w:style w:type="numbering" w:customStyle="1" w:styleId="NoList111">
    <w:name w:val="No List111"/>
    <w:next w:val="NoList"/>
    <w:uiPriority w:val="99"/>
    <w:semiHidden/>
    <w:unhideWhenUsed/>
    <w:rsid w:val="00F90660"/>
  </w:style>
  <w:style w:type="paragraph" w:styleId="NormalWeb">
    <w:name w:val="Normal (Web)"/>
    <w:basedOn w:val="Normal"/>
    <w:rsid w:val="00F90660"/>
    <w:pPr>
      <w:suppressAutoHyphens/>
      <w:autoSpaceDN w:val="0"/>
      <w:spacing w:before="100" w:after="100" w:line="240" w:lineRule="auto"/>
      <w:textAlignment w:val="baseline"/>
    </w:pPr>
    <w:rPr>
      <w:rFonts w:ascii="Times" w:eastAsia="Times New Roman" w:hAnsi="Times" w:cs="Times New Roman"/>
      <w:sz w:val="20"/>
      <w:szCs w:val="20"/>
      <w:lang w:val="en-US" w:eastAsia="ja-JP"/>
    </w:rPr>
  </w:style>
  <w:style w:type="paragraph" w:customStyle="1" w:styleId="tv213">
    <w:name w:val="tv213"/>
    <w:basedOn w:val="Normal"/>
    <w:rsid w:val="00F90660"/>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ja-JP"/>
    </w:rPr>
  </w:style>
  <w:style w:type="character" w:customStyle="1" w:styleId="ListParagraphChar">
    <w:name w:val="List Paragraph Char"/>
    <w:aliases w:val="Syle 1 Char,Strip Char,H&amp;P List Paragraph Char,2 Char,Virsraksti Char,Normal bullet 2 Char,Bullet list Char,Numbered Para 1 Char,Dot pt Char,No Spacing1 Char,List Paragraph Char Char Char Char,Indicator Text Char,List Paragraph1 Char"/>
    <w:uiPriority w:val="34"/>
    <w:qFormat/>
    <w:rsid w:val="00F90660"/>
    <w:rPr>
      <w:rFonts w:eastAsia="Times New Roman"/>
      <w:sz w:val="24"/>
      <w:szCs w:val="24"/>
      <w:lang w:val="en-US" w:eastAsia="ja-JP"/>
    </w:rPr>
  </w:style>
  <w:style w:type="paragraph" w:styleId="Revision">
    <w:name w:val="Revision"/>
    <w:uiPriority w:val="99"/>
    <w:rsid w:val="00F90660"/>
    <w:pPr>
      <w:suppressAutoHyphens/>
      <w:autoSpaceDN w:val="0"/>
      <w:spacing w:after="0" w:line="240" w:lineRule="auto"/>
      <w:textAlignment w:val="baseline"/>
    </w:pPr>
    <w:rPr>
      <w:rFonts w:ascii="Calibri" w:eastAsia="Times New Roman" w:hAnsi="Calibri" w:cs="Times New Roman"/>
      <w:sz w:val="24"/>
      <w:szCs w:val="24"/>
      <w:lang w:val="en-US" w:eastAsia="ja-JP"/>
    </w:rPr>
  </w:style>
  <w:style w:type="character" w:styleId="Strong">
    <w:name w:val="Strong"/>
    <w:basedOn w:val="DefaultParagraphFont"/>
    <w:uiPriority w:val="22"/>
    <w:qFormat/>
    <w:rsid w:val="00F90660"/>
    <w:rPr>
      <w:b/>
      <w:bCs/>
    </w:rPr>
  </w:style>
  <w:style w:type="character" w:styleId="Emphasis">
    <w:name w:val="Emphasis"/>
    <w:uiPriority w:val="20"/>
    <w:qFormat/>
    <w:rsid w:val="00F90660"/>
    <w:rPr>
      <w:rFonts w:cs="Times New Roman"/>
      <w:i/>
      <w:iCs/>
    </w:rPr>
  </w:style>
  <w:style w:type="character" w:customStyle="1" w:styleId="FollowedHyperlink1">
    <w:name w:val="FollowedHyperlink1"/>
    <w:basedOn w:val="DefaultParagraphFont"/>
    <w:uiPriority w:val="99"/>
    <w:semiHidden/>
    <w:unhideWhenUsed/>
    <w:rsid w:val="00F90660"/>
    <w:rPr>
      <w:color w:val="800080"/>
      <w:u w:val="single"/>
    </w:rPr>
  </w:style>
  <w:style w:type="table" w:customStyle="1" w:styleId="TableGrid1">
    <w:name w:val="Table Grid1"/>
    <w:basedOn w:val="TableNormal"/>
    <w:next w:val="TableGrid"/>
    <w:uiPriority w:val="39"/>
    <w:rsid w:val="00F906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9066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90660"/>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90660"/>
    <w:rPr>
      <w:rFonts w:ascii="Times New Roman" w:eastAsia="Times New Roman" w:hAnsi="Times New Roman" w:cs="Times New Roman"/>
      <w:sz w:val="20"/>
      <w:szCs w:val="20"/>
      <w:lang w:eastAsia="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F90660"/>
    <w:rPr>
      <w:vertAlign w:val="superscript"/>
    </w:rPr>
  </w:style>
  <w:style w:type="paragraph" w:customStyle="1" w:styleId="FootnoteRefernece">
    <w:name w:val="Footnote Refernece"/>
    <w:aliases w:val="ftref,Odwołanie przypisu,Footnotes refss,Ref,de nota al pie,E,E FNZ"/>
    <w:basedOn w:val="Normal"/>
    <w:next w:val="Normal"/>
    <w:link w:val="FootnoteReference"/>
    <w:uiPriority w:val="99"/>
    <w:rsid w:val="00F90660"/>
    <w:pPr>
      <w:spacing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F90660"/>
    <w:rPr>
      <w:color w:val="954F72" w:themeColor="followedHyperlink"/>
      <w:u w:val="single"/>
    </w:rPr>
  </w:style>
  <w:style w:type="character" w:customStyle="1" w:styleId="Heading1Char1">
    <w:name w:val="Heading 1 Char1"/>
    <w:basedOn w:val="DefaultParagraphFont"/>
    <w:uiPriority w:val="9"/>
    <w:rsid w:val="00F90660"/>
    <w:rPr>
      <w:rFonts w:asciiTheme="majorHAnsi" w:eastAsiaTheme="majorEastAsia" w:hAnsiTheme="majorHAnsi" w:cstheme="majorBidi"/>
      <w:color w:val="2F5496" w:themeColor="accent1" w:themeShade="BF"/>
      <w:sz w:val="32"/>
      <w:szCs w:val="32"/>
    </w:rPr>
  </w:style>
  <w:style w:type="character" w:customStyle="1" w:styleId="Heading4Char1">
    <w:name w:val="Heading 4 Char1"/>
    <w:basedOn w:val="DefaultParagraphFont"/>
    <w:uiPriority w:val="9"/>
    <w:semiHidden/>
    <w:rsid w:val="00F90660"/>
    <w:rPr>
      <w:rFonts w:asciiTheme="majorHAnsi" w:eastAsiaTheme="majorEastAsia" w:hAnsiTheme="majorHAnsi" w:cstheme="majorBidi"/>
      <w:i/>
      <w:iCs/>
      <w:color w:val="2F5496" w:themeColor="accent1" w:themeShade="BF"/>
    </w:rPr>
  </w:style>
  <w:style w:type="numbering" w:customStyle="1" w:styleId="NoList2">
    <w:name w:val="No List2"/>
    <w:next w:val="NoList"/>
    <w:uiPriority w:val="99"/>
    <w:semiHidden/>
    <w:unhideWhenUsed/>
    <w:rsid w:val="00F90660"/>
  </w:style>
  <w:style w:type="table" w:customStyle="1" w:styleId="TableGrid2">
    <w:name w:val="Table Grid2"/>
    <w:basedOn w:val="TableNormal"/>
    <w:next w:val="TableGrid"/>
    <w:uiPriority w:val="59"/>
    <w:rsid w:val="00F90660"/>
    <w:pPr>
      <w:spacing w:after="0" w:line="240" w:lineRule="auto"/>
    </w:pPr>
    <w:rPr>
      <w:rFonts w:eastAsia="MS Mincho"/>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90660"/>
  </w:style>
  <w:style w:type="paragraph" w:customStyle="1" w:styleId="Heading51">
    <w:name w:val="Heading 51"/>
    <w:basedOn w:val="Normal"/>
    <w:next w:val="Normal"/>
    <w:uiPriority w:val="9"/>
    <w:unhideWhenUsed/>
    <w:qFormat/>
    <w:rsid w:val="00F90660"/>
    <w:pPr>
      <w:keepNext/>
      <w:keepLines/>
      <w:spacing w:before="40" w:after="0" w:line="264" w:lineRule="auto"/>
      <w:jc w:val="both"/>
      <w:outlineLvl w:val="4"/>
    </w:pPr>
    <w:rPr>
      <w:rFonts w:ascii="Calibri Light" w:eastAsia="Times New Roman" w:hAnsi="Calibri Light" w:cs="Times New Roman"/>
      <w:color w:val="44546A"/>
    </w:rPr>
  </w:style>
  <w:style w:type="paragraph" w:customStyle="1" w:styleId="Heading61">
    <w:name w:val="Heading 61"/>
    <w:basedOn w:val="Normal"/>
    <w:next w:val="Normal"/>
    <w:uiPriority w:val="9"/>
    <w:unhideWhenUsed/>
    <w:qFormat/>
    <w:rsid w:val="00F90660"/>
    <w:pPr>
      <w:keepNext/>
      <w:keepLines/>
      <w:spacing w:before="40" w:after="0" w:line="264" w:lineRule="auto"/>
      <w:jc w:val="both"/>
      <w:outlineLvl w:val="5"/>
    </w:pPr>
    <w:rPr>
      <w:rFonts w:ascii="Calibri Light" w:eastAsia="Times New Roman" w:hAnsi="Calibri Light" w:cs="Times New Roman"/>
      <w:i/>
      <w:iCs/>
      <w:color w:val="44546A"/>
      <w:sz w:val="21"/>
      <w:szCs w:val="21"/>
    </w:rPr>
  </w:style>
  <w:style w:type="paragraph" w:customStyle="1" w:styleId="Heading71">
    <w:name w:val="Heading 71"/>
    <w:basedOn w:val="Normal"/>
    <w:next w:val="Normal"/>
    <w:uiPriority w:val="9"/>
    <w:unhideWhenUsed/>
    <w:qFormat/>
    <w:rsid w:val="00F90660"/>
    <w:pPr>
      <w:keepNext/>
      <w:keepLines/>
      <w:spacing w:before="40" w:after="0" w:line="264" w:lineRule="auto"/>
      <w:jc w:val="both"/>
      <w:outlineLvl w:val="6"/>
    </w:pPr>
    <w:rPr>
      <w:rFonts w:ascii="Calibri Light" w:eastAsia="Times New Roman" w:hAnsi="Calibri Light" w:cs="Times New Roman"/>
      <w:i/>
      <w:iCs/>
      <w:color w:val="1F3864"/>
      <w:sz w:val="21"/>
      <w:szCs w:val="21"/>
    </w:rPr>
  </w:style>
  <w:style w:type="paragraph" w:customStyle="1" w:styleId="Heading81">
    <w:name w:val="Heading 81"/>
    <w:basedOn w:val="Normal"/>
    <w:next w:val="Normal"/>
    <w:uiPriority w:val="9"/>
    <w:semiHidden/>
    <w:unhideWhenUsed/>
    <w:qFormat/>
    <w:rsid w:val="00F90660"/>
    <w:pPr>
      <w:keepNext/>
      <w:keepLines/>
      <w:spacing w:before="40" w:after="0" w:line="264" w:lineRule="auto"/>
      <w:jc w:val="both"/>
      <w:outlineLvl w:val="7"/>
    </w:pPr>
    <w:rPr>
      <w:rFonts w:ascii="Calibri Light" w:eastAsia="Times New Roman" w:hAnsi="Calibri Light" w:cs="Times New Roman"/>
      <w:b/>
      <w:bCs/>
      <w:color w:val="44546A"/>
      <w:sz w:val="20"/>
      <w:szCs w:val="20"/>
    </w:rPr>
  </w:style>
  <w:style w:type="paragraph" w:customStyle="1" w:styleId="Heading91">
    <w:name w:val="Heading 91"/>
    <w:basedOn w:val="Normal"/>
    <w:next w:val="Normal"/>
    <w:uiPriority w:val="9"/>
    <w:semiHidden/>
    <w:unhideWhenUsed/>
    <w:qFormat/>
    <w:rsid w:val="00F90660"/>
    <w:pPr>
      <w:keepNext/>
      <w:keepLines/>
      <w:spacing w:before="40" w:after="0" w:line="264" w:lineRule="auto"/>
      <w:jc w:val="both"/>
      <w:outlineLvl w:val="8"/>
    </w:pPr>
    <w:rPr>
      <w:rFonts w:ascii="Calibri Light" w:eastAsia="Times New Roman" w:hAnsi="Calibri Light" w:cs="Times New Roman"/>
      <w:b/>
      <w:bCs/>
      <w:i/>
      <w:iCs/>
      <w:color w:val="44546A"/>
      <w:sz w:val="20"/>
      <w:szCs w:val="20"/>
    </w:rPr>
  </w:style>
  <w:style w:type="numbering" w:customStyle="1" w:styleId="NoList12">
    <w:name w:val="No List12"/>
    <w:next w:val="NoList"/>
    <w:uiPriority w:val="99"/>
    <w:semiHidden/>
    <w:unhideWhenUsed/>
    <w:rsid w:val="00F90660"/>
  </w:style>
  <w:style w:type="table" w:customStyle="1" w:styleId="companyTable">
    <w:name w:val="companyTable"/>
    <w:uiPriority w:val="99"/>
    <w:rsid w:val="00F90660"/>
    <w:pPr>
      <w:spacing w:after="200" w:line="276" w:lineRule="auto"/>
    </w:pPr>
    <w:rPr>
      <w:rFonts w:ascii="Calibri" w:eastAsia="Calibri" w:hAnsi="Calibri" w:cs="Calibri"/>
      <w:sz w:val="20"/>
      <w:szCs w:val="20"/>
      <w:lang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paragraph" w:customStyle="1" w:styleId="NoSpacing2">
    <w:name w:val="No Spacing2"/>
    <w:next w:val="NoSpacing"/>
    <w:link w:val="NoSpacingChar"/>
    <w:qFormat/>
    <w:rsid w:val="00F90660"/>
    <w:pPr>
      <w:spacing w:after="0" w:line="240" w:lineRule="auto"/>
    </w:pPr>
    <w:rPr>
      <w:rFonts w:ascii="Calibri" w:eastAsia="Times New Roman" w:hAnsi="Calibri" w:cs="Times New Roman"/>
      <w:sz w:val="20"/>
      <w:szCs w:val="20"/>
    </w:rPr>
  </w:style>
  <w:style w:type="table" w:customStyle="1" w:styleId="companyTable1">
    <w:name w:val="companyTable1"/>
    <w:uiPriority w:val="99"/>
    <w:rsid w:val="00F90660"/>
    <w:pPr>
      <w:spacing w:after="200" w:line="276" w:lineRule="auto"/>
    </w:pPr>
    <w:rPr>
      <w:rFonts w:ascii="Calibri" w:eastAsia="Calibri" w:hAnsi="Calibri" w:cs="Calibri"/>
      <w:sz w:val="20"/>
      <w:szCs w:val="20"/>
      <w:lang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
    <w:name w:val="companyTable2"/>
    <w:uiPriority w:val="99"/>
    <w:rsid w:val="00F90660"/>
    <w:pPr>
      <w:spacing w:after="200" w:line="276" w:lineRule="auto"/>
    </w:pPr>
    <w:rPr>
      <w:rFonts w:ascii="Calibri" w:eastAsia="Calibri" w:hAnsi="Calibri" w:cs="Calibri"/>
      <w:sz w:val="20"/>
      <w:szCs w:val="20"/>
      <w:lang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
    <w:name w:val="companyTable3"/>
    <w:uiPriority w:val="99"/>
    <w:rsid w:val="00F90660"/>
    <w:pPr>
      <w:spacing w:after="200" w:line="276" w:lineRule="auto"/>
    </w:pPr>
    <w:rPr>
      <w:rFonts w:ascii="Calibri" w:eastAsia="Calibri" w:hAnsi="Calibri" w:cs="Calibri"/>
      <w:sz w:val="20"/>
      <w:szCs w:val="20"/>
      <w:lang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character" w:customStyle="1" w:styleId="StyleCenturyGothic28ptOrangeSmallcaps">
    <w:name w:val="Style Century Gothic 28 pt Orange Small caps"/>
    <w:rsid w:val="00F90660"/>
    <w:rPr>
      <w:rFonts w:ascii="Century Gothic" w:hAnsi="Century Gothic"/>
      <w:smallCaps/>
      <w:color w:val="FF6600"/>
      <w:sz w:val="36"/>
    </w:rPr>
  </w:style>
  <w:style w:type="paragraph" w:customStyle="1" w:styleId="Default">
    <w:name w:val="Default"/>
    <w:rsid w:val="00F90660"/>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nhideWhenUsed/>
    <w:rsid w:val="00F90660"/>
    <w:pPr>
      <w:spacing w:after="120" w:line="240" w:lineRule="auto"/>
      <w:jc w:val="both"/>
    </w:pPr>
    <w:rPr>
      <w:rFonts w:ascii="Times New Roman" w:eastAsia="SimSun" w:hAnsi="Times New Roman" w:cs="Times New Roman"/>
      <w:sz w:val="24"/>
      <w:szCs w:val="24"/>
      <w:lang w:eastAsia="zh-CN"/>
    </w:rPr>
  </w:style>
  <w:style w:type="character" w:customStyle="1" w:styleId="BodyTextChar">
    <w:name w:val="Body Text Char"/>
    <w:basedOn w:val="DefaultParagraphFont"/>
    <w:link w:val="BodyText"/>
    <w:rsid w:val="00F90660"/>
    <w:rPr>
      <w:rFonts w:ascii="Times New Roman" w:eastAsia="SimSun" w:hAnsi="Times New Roman" w:cs="Times New Roman"/>
      <w:sz w:val="24"/>
      <w:szCs w:val="24"/>
      <w:lang w:eastAsia="zh-CN"/>
    </w:rPr>
  </w:style>
  <w:style w:type="character" w:customStyle="1" w:styleId="apple-style-span">
    <w:name w:val="apple-style-span"/>
    <w:basedOn w:val="DefaultParagraphFont"/>
    <w:rsid w:val="00F90660"/>
  </w:style>
  <w:style w:type="paragraph" w:styleId="BodyText2">
    <w:name w:val="Body Text 2"/>
    <w:basedOn w:val="Normal"/>
    <w:link w:val="BodyText2Char"/>
    <w:uiPriority w:val="99"/>
    <w:unhideWhenUsed/>
    <w:rsid w:val="00F90660"/>
    <w:pPr>
      <w:spacing w:after="120" w:line="480" w:lineRule="auto"/>
      <w:jc w:val="both"/>
    </w:pPr>
    <w:rPr>
      <w:rFonts w:ascii="Tahoma" w:eastAsia="Times New Roman" w:hAnsi="Tahoma" w:cs="Times New Roman"/>
      <w:sz w:val="20"/>
      <w:szCs w:val="20"/>
      <w:lang w:val="en-GB"/>
    </w:rPr>
  </w:style>
  <w:style w:type="character" w:customStyle="1" w:styleId="BodyText2Char">
    <w:name w:val="Body Text 2 Char"/>
    <w:basedOn w:val="DefaultParagraphFont"/>
    <w:link w:val="BodyText2"/>
    <w:uiPriority w:val="99"/>
    <w:rsid w:val="00F90660"/>
    <w:rPr>
      <w:rFonts w:ascii="Tahoma" w:eastAsia="Times New Roman" w:hAnsi="Tahoma" w:cs="Times New Roman"/>
      <w:sz w:val="20"/>
      <w:szCs w:val="20"/>
      <w:lang w:val="en-GB"/>
    </w:rPr>
  </w:style>
  <w:style w:type="paragraph" w:customStyle="1" w:styleId="o1">
    <w:name w:val="o1"/>
    <w:basedOn w:val="Normal"/>
    <w:next w:val="FootnoteText"/>
    <w:uiPriority w:val="99"/>
    <w:unhideWhenUsed/>
    <w:qFormat/>
    <w:rsid w:val="00F90660"/>
    <w:pPr>
      <w:spacing w:after="0" w:line="240" w:lineRule="auto"/>
      <w:jc w:val="both"/>
    </w:pPr>
    <w:rPr>
      <w:rFonts w:ascii="Tahoma" w:eastAsia="SimSun" w:hAnsi="Tahoma" w:cs="Times New Roman"/>
      <w:color w:val="262626"/>
      <w:sz w:val="16"/>
      <w:szCs w:val="20"/>
      <w:lang w:val="en-GB" w:eastAsia="zh-CN"/>
    </w:rPr>
  </w:style>
  <w:style w:type="table" w:customStyle="1" w:styleId="TableGrid11">
    <w:name w:val="Table Grid11"/>
    <w:basedOn w:val="TableNormal"/>
    <w:next w:val="TableGrid"/>
    <w:uiPriority w:val="39"/>
    <w:rsid w:val="00F906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block">
    <w:name w:val="inline-block"/>
    <w:basedOn w:val="DefaultParagraphFont"/>
    <w:rsid w:val="00F90660"/>
  </w:style>
  <w:style w:type="character" w:customStyle="1" w:styleId="NoSpacingChar">
    <w:name w:val="No Spacing Char"/>
    <w:basedOn w:val="DefaultParagraphFont"/>
    <w:link w:val="NoSpacing2"/>
    <w:rsid w:val="00F90660"/>
    <w:rPr>
      <w:rFonts w:ascii="Calibri" w:eastAsia="Times New Roman" w:hAnsi="Calibri" w:cs="Times New Roman"/>
      <w:sz w:val="20"/>
      <w:szCs w:val="20"/>
    </w:rPr>
  </w:style>
  <w:style w:type="numbering" w:customStyle="1" w:styleId="Timebullet">
    <w:name w:val="Time bullet"/>
    <w:basedOn w:val="NoList"/>
    <w:uiPriority w:val="99"/>
    <w:rsid w:val="00F90660"/>
  </w:style>
  <w:style w:type="paragraph" w:customStyle="1" w:styleId="Time">
    <w:name w:val="Time"/>
    <w:basedOn w:val="Normal"/>
    <w:autoRedefine/>
    <w:rsid w:val="00F90660"/>
    <w:pPr>
      <w:numPr>
        <w:ilvl w:val="1"/>
        <w:numId w:val="6"/>
      </w:numPr>
      <w:autoSpaceDE w:val="0"/>
      <w:autoSpaceDN w:val="0"/>
      <w:adjustRightInd w:val="0"/>
      <w:spacing w:after="120" w:line="240" w:lineRule="auto"/>
      <w:ind w:left="1440" w:hanging="360"/>
      <w:jc w:val="both"/>
    </w:pPr>
    <w:rPr>
      <w:rFonts w:ascii="Avenir Heavy" w:eastAsia="Times New Roman" w:hAnsi="Avenir Heavy" w:cs="Times New Roman"/>
      <w:b/>
      <w:bCs/>
      <w:color w:val="404040"/>
      <w:sz w:val="20"/>
      <w:szCs w:val="20"/>
    </w:rPr>
  </w:style>
  <w:style w:type="paragraph" w:customStyle="1" w:styleId="Heading">
    <w:name w:val="Heading"/>
    <w:basedOn w:val="GPTitle"/>
    <w:link w:val="HeadingChar"/>
    <w:rsid w:val="00F90660"/>
  </w:style>
  <w:style w:type="paragraph" w:customStyle="1" w:styleId="GPHeading1">
    <w:name w:val="G&amp;P Heading 1"/>
    <w:basedOn w:val="Heading2"/>
    <w:rsid w:val="00F90660"/>
    <w:pPr>
      <w:keepNext w:val="0"/>
      <w:keepLines w:val="0"/>
      <w:numPr>
        <w:ilvl w:val="1"/>
      </w:numPr>
      <w:suppressAutoHyphens w:val="0"/>
      <w:autoSpaceDN/>
      <w:spacing w:before="0" w:after="240"/>
      <w:ind w:left="1440" w:hanging="360"/>
      <w:jc w:val="right"/>
      <w:textAlignment w:val="auto"/>
    </w:pPr>
    <w:rPr>
      <w:rFonts w:ascii="Tahoma" w:hAnsi="Tahoma" w:cs="Tahoma"/>
      <w:b w:val="0"/>
      <w:bCs w:val="0"/>
      <w:color w:val="595959"/>
      <w:spacing w:val="22"/>
      <w:sz w:val="48"/>
      <w:szCs w:val="20"/>
      <w:lang w:val="lv-LV"/>
    </w:rPr>
  </w:style>
  <w:style w:type="paragraph" w:customStyle="1" w:styleId="GPHeading3">
    <w:name w:val="G&amp;P Heading 3"/>
    <w:basedOn w:val="Normal"/>
    <w:link w:val="GPHeading3Char"/>
    <w:rsid w:val="00F90660"/>
    <w:pPr>
      <w:spacing w:after="240" w:line="240" w:lineRule="auto"/>
      <w:jc w:val="both"/>
      <w:outlineLvl w:val="2"/>
    </w:pPr>
    <w:rPr>
      <w:rFonts w:ascii="Tahoma" w:eastAsia="Times New Roman" w:hAnsi="Tahoma" w:cs="Times New Roman"/>
      <w:caps/>
      <w:color w:val="8F9C00"/>
      <w:sz w:val="28"/>
      <w:szCs w:val="20"/>
    </w:rPr>
  </w:style>
  <w:style w:type="paragraph" w:customStyle="1" w:styleId="Bodylist">
    <w:name w:val="Body list"/>
    <w:basedOn w:val="Normal"/>
    <w:qFormat/>
    <w:rsid w:val="00F90660"/>
    <w:pPr>
      <w:spacing w:after="120" w:line="264" w:lineRule="auto"/>
      <w:ind w:left="1418" w:hanging="1418"/>
      <w:jc w:val="both"/>
    </w:pPr>
    <w:rPr>
      <w:rFonts w:ascii="Tahoma" w:eastAsia="Times New Roman" w:hAnsi="Tahoma" w:cs="Times New Roman"/>
      <w:sz w:val="20"/>
      <w:szCs w:val="20"/>
    </w:rPr>
  </w:style>
  <w:style w:type="paragraph" w:customStyle="1" w:styleId="GPTitle">
    <w:name w:val="G&amp;P_Title"/>
    <w:basedOn w:val="Normal"/>
    <w:link w:val="GPTitleChar"/>
    <w:rsid w:val="00F90660"/>
    <w:pPr>
      <w:spacing w:after="120" w:line="264" w:lineRule="auto"/>
      <w:jc w:val="center"/>
    </w:pPr>
    <w:rPr>
      <w:rFonts w:ascii="Avenir Heavy" w:eastAsia="Times New Roman" w:hAnsi="Avenir Heavy" w:cs="Times New Roman"/>
      <w:b/>
      <w:bCs/>
      <w:color w:val="FFFFFF"/>
      <w:sz w:val="90"/>
      <w:szCs w:val="90"/>
    </w:rPr>
  </w:style>
  <w:style w:type="paragraph" w:customStyle="1" w:styleId="GPHeading2">
    <w:name w:val="G&amp;P Heading 2"/>
    <w:basedOn w:val="Normal"/>
    <w:link w:val="GPHeading2Char"/>
    <w:rsid w:val="00F90660"/>
    <w:pPr>
      <w:spacing w:before="360" w:after="360" w:line="240" w:lineRule="auto"/>
      <w:jc w:val="both"/>
    </w:pPr>
    <w:rPr>
      <w:rFonts w:ascii="Tahoma" w:eastAsia="Times New Roman" w:hAnsi="Tahoma" w:cs="Times New Roman"/>
      <w:b/>
      <w:color w:val="787878"/>
      <w:sz w:val="24"/>
      <w:szCs w:val="20"/>
    </w:rPr>
  </w:style>
  <w:style w:type="character" w:customStyle="1" w:styleId="GPTitleChar">
    <w:name w:val="G&amp;P_Title Char"/>
    <w:basedOn w:val="DefaultParagraphFont"/>
    <w:link w:val="GPTitle"/>
    <w:rsid w:val="00F90660"/>
    <w:rPr>
      <w:rFonts w:ascii="Avenir Heavy" w:eastAsia="Times New Roman" w:hAnsi="Avenir Heavy" w:cs="Times New Roman"/>
      <w:b/>
      <w:bCs/>
      <w:color w:val="FFFFFF"/>
      <w:sz w:val="90"/>
      <w:szCs w:val="90"/>
    </w:rPr>
  </w:style>
  <w:style w:type="paragraph" w:customStyle="1" w:styleId="GPTitle0">
    <w:name w:val="G&amp;P Title"/>
    <w:basedOn w:val="Heading"/>
    <w:link w:val="GPTitleChar0"/>
    <w:rsid w:val="00F90660"/>
    <w:rPr>
      <w:rFonts w:ascii="Avenir LT Std 55 Roman" w:hAnsi="Avenir LT Std 55 Roman"/>
      <w:caps/>
    </w:rPr>
  </w:style>
  <w:style w:type="character" w:customStyle="1" w:styleId="GPHeading3Char">
    <w:name w:val="G&amp;P Heading 3 Char"/>
    <w:basedOn w:val="DefaultParagraphFont"/>
    <w:link w:val="GPHeading3"/>
    <w:rsid w:val="00F90660"/>
    <w:rPr>
      <w:rFonts w:ascii="Tahoma" w:eastAsia="Times New Roman" w:hAnsi="Tahoma" w:cs="Times New Roman"/>
      <w:caps/>
      <w:color w:val="8F9C00"/>
      <w:sz w:val="28"/>
      <w:szCs w:val="20"/>
    </w:rPr>
  </w:style>
  <w:style w:type="character" w:customStyle="1" w:styleId="GPHeading2Char">
    <w:name w:val="G&amp;P Heading 2 Char"/>
    <w:basedOn w:val="GPHeading3Char"/>
    <w:link w:val="GPHeading2"/>
    <w:rsid w:val="00F90660"/>
    <w:rPr>
      <w:rFonts w:ascii="Tahoma" w:eastAsia="Times New Roman" w:hAnsi="Tahoma" w:cs="Times New Roman"/>
      <w:b/>
      <w:caps w:val="0"/>
      <w:color w:val="787878"/>
      <w:sz w:val="24"/>
      <w:szCs w:val="20"/>
    </w:rPr>
  </w:style>
  <w:style w:type="paragraph" w:customStyle="1" w:styleId="GPSubtitle">
    <w:name w:val="G&amp;P Subtitle"/>
    <w:basedOn w:val="GPHeading3"/>
    <w:link w:val="GPSubtitleChar"/>
    <w:rsid w:val="00F90660"/>
    <w:rPr>
      <w:b/>
      <w:caps w:val="0"/>
      <w:noProof/>
      <w:color w:val="44546A"/>
    </w:rPr>
  </w:style>
  <w:style w:type="character" w:customStyle="1" w:styleId="HeadingChar">
    <w:name w:val="Heading Char"/>
    <w:basedOn w:val="GPTitleChar"/>
    <w:link w:val="Heading"/>
    <w:rsid w:val="00F90660"/>
    <w:rPr>
      <w:rFonts w:ascii="Avenir Heavy" w:eastAsia="Times New Roman" w:hAnsi="Avenir Heavy" w:cs="Times New Roman"/>
      <w:b/>
      <w:bCs/>
      <w:color w:val="FFFFFF"/>
      <w:sz w:val="90"/>
      <w:szCs w:val="90"/>
    </w:rPr>
  </w:style>
  <w:style w:type="character" w:customStyle="1" w:styleId="GPTitleChar0">
    <w:name w:val="G&amp;P Title Char"/>
    <w:basedOn w:val="HeadingChar"/>
    <w:link w:val="GPTitle0"/>
    <w:rsid w:val="00F90660"/>
    <w:rPr>
      <w:rFonts w:ascii="Avenir LT Std 55 Roman" w:eastAsia="Times New Roman" w:hAnsi="Avenir LT Std 55 Roman" w:cs="Times New Roman"/>
      <w:b/>
      <w:bCs/>
      <w:caps/>
      <w:color w:val="FFFFFF"/>
      <w:sz w:val="90"/>
      <w:szCs w:val="90"/>
    </w:rPr>
  </w:style>
  <w:style w:type="paragraph" w:customStyle="1" w:styleId="GPHeading2withsubtitle">
    <w:name w:val="G&amp;P Heading 2 with subtitle"/>
    <w:basedOn w:val="GPHeading2"/>
    <w:link w:val="GPHeading2withsubtitleChar"/>
    <w:rsid w:val="00F90660"/>
    <w:pPr>
      <w:spacing w:after="0"/>
    </w:pPr>
  </w:style>
  <w:style w:type="character" w:customStyle="1" w:styleId="GPSubtitleChar">
    <w:name w:val="G&amp;P Subtitle Char"/>
    <w:basedOn w:val="GPHeading3Char"/>
    <w:link w:val="GPSubtitle"/>
    <w:rsid w:val="00F90660"/>
    <w:rPr>
      <w:rFonts w:ascii="Tahoma" w:eastAsia="Times New Roman" w:hAnsi="Tahoma" w:cs="Times New Roman"/>
      <w:b/>
      <w:caps w:val="0"/>
      <w:noProof/>
      <w:color w:val="44546A"/>
      <w:sz w:val="28"/>
      <w:szCs w:val="20"/>
    </w:rPr>
  </w:style>
  <w:style w:type="character" w:customStyle="1" w:styleId="GPHeading2withsubtitleChar">
    <w:name w:val="G&amp;P Heading 2 with subtitle Char"/>
    <w:basedOn w:val="GPHeading2Char"/>
    <w:link w:val="GPHeading2withsubtitle"/>
    <w:rsid w:val="00F90660"/>
    <w:rPr>
      <w:rFonts w:ascii="Tahoma" w:eastAsia="Times New Roman" w:hAnsi="Tahoma" w:cs="Times New Roman"/>
      <w:b/>
      <w:caps w:val="0"/>
      <w:color w:val="787878"/>
      <w:sz w:val="24"/>
      <w:szCs w:val="20"/>
    </w:rPr>
  </w:style>
  <w:style w:type="paragraph" w:customStyle="1" w:styleId="GPList">
    <w:name w:val="G&amp;P List"/>
    <w:basedOn w:val="ListParagraph"/>
    <w:link w:val="GPListChar"/>
    <w:rsid w:val="00F90660"/>
    <w:pPr>
      <w:numPr>
        <w:numId w:val="7"/>
      </w:numPr>
      <w:autoSpaceDE w:val="0"/>
      <w:autoSpaceDN w:val="0"/>
      <w:adjustRightInd w:val="0"/>
      <w:spacing w:after="120" w:line="264" w:lineRule="auto"/>
      <w:contextualSpacing w:val="0"/>
      <w:jc w:val="both"/>
      <w:outlineLvl w:val="0"/>
    </w:pPr>
    <w:rPr>
      <w:rFonts w:ascii="Tahoma" w:eastAsia="Times New Roman" w:hAnsi="Tahoma" w:cs="Tahoma"/>
      <w:sz w:val="24"/>
      <w:szCs w:val="24"/>
      <w:lang w:val="en-US" w:eastAsia="ja-JP"/>
    </w:rPr>
  </w:style>
  <w:style w:type="paragraph" w:customStyle="1" w:styleId="IntenseQuote1">
    <w:name w:val="Intense Quote1"/>
    <w:basedOn w:val="Normal"/>
    <w:next w:val="Normal"/>
    <w:uiPriority w:val="30"/>
    <w:qFormat/>
    <w:rsid w:val="00F90660"/>
    <w:pPr>
      <w:pBdr>
        <w:left w:val="single" w:sz="18" w:space="12" w:color="4472C4"/>
      </w:pBdr>
      <w:spacing w:before="100" w:beforeAutospacing="1" w:after="120" w:line="300" w:lineRule="auto"/>
      <w:ind w:left="1224" w:right="1224"/>
      <w:jc w:val="both"/>
    </w:pPr>
    <w:rPr>
      <w:rFonts w:ascii="Calibri Light" w:eastAsia="Times New Roman" w:hAnsi="Calibri Light" w:cs="Times New Roman"/>
      <w:color w:val="4472C4"/>
      <w:sz w:val="28"/>
      <w:szCs w:val="28"/>
    </w:rPr>
  </w:style>
  <w:style w:type="character" w:customStyle="1" w:styleId="IntenseQuoteChar">
    <w:name w:val="Intense Quote Char"/>
    <w:basedOn w:val="DefaultParagraphFont"/>
    <w:link w:val="IntenseQuote"/>
    <w:uiPriority w:val="30"/>
    <w:rsid w:val="00F90660"/>
    <w:rPr>
      <w:rFonts w:ascii="Calibri Light" w:eastAsia="Times New Roman" w:hAnsi="Calibri Light" w:cs="Times New Roman"/>
      <w:color w:val="4472C4"/>
      <w:sz w:val="28"/>
      <w:szCs w:val="28"/>
    </w:rPr>
  </w:style>
  <w:style w:type="character" w:customStyle="1" w:styleId="GPListChar">
    <w:name w:val="G&amp;P List Char"/>
    <w:basedOn w:val="ListParagraphChar"/>
    <w:link w:val="GPList"/>
    <w:rsid w:val="00F90660"/>
    <w:rPr>
      <w:rFonts w:ascii="Tahoma" w:eastAsia="Times New Roman" w:hAnsi="Tahoma" w:cs="Tahoma"/>
      <w:sz w:val="24"/>
      <w:szCs w:val="24"/>
      <w:lang w:val="en-US" w:eastAsia="ja-JP"/>
    </w:rPr>
  </w:style>
  <w:style w:type="table" w:customStyle="1" w:styleId="PG">
    <w:name w:val="P&amp;G"/>
    <w:basedOn w:val="TableNormal"/>
    <w:uiPriority w:val="99"/>
    <w:rsid w:val="00F90660"/>
    <w:pPr>
      <w:spacing w:after="0" w:line="240" w:lineRule="auto"/>
    </w:pPr>
    <w:rPr>
      <w:rFonts w:ascii="Calibri" w:eastAsia="Times New Roman" w:hAnsi="Calibri" w:cs="Times New Roman"/>
      <w:sz w:val="20"/>
      <w:szCs w:val="20"/>
    </w:rPr>
    <w:tblPr/>
  </w:style>
  <w:style w:type="table" w:customStyle="1" w:styleId="ListTable7Colorful-Accent11">
    <w:name w:val="List Table 7 Colorful - Accent 11"/>
    <w:basedOn w:val="TableNormal"/>
    <w:uiPriority w:val="52"/>
    <w:rsid w:val="00F90660"/>
    <w:pPr>
      <w:spacing w:after="0" w:line="240" w:lineRule="auto"/>
    </w:pPr>
    <w:rPr>
      <w:rFonts w:ascii="Calibri" w:eastAsia="Times New Roman" w:hAnsi="Calibri" w:cs="Times New Roman"/>
      <w:color w:val="2F5496"/>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
    <w:name w:val="List Table 7 Colorful1"/>
    <w:basedOn w:val="TableNormal"/>
    <w:uiPriority w:val="52"/>
    <w:rsid w:val="00F90660"/>
    <w:pPr>
      <w:spacing w:after="0" w:line="240" w:lineRule="auto"/>
    </w:pPr>
    <w:rPr>
      <w:rFonts w:ascii="Calibri" w:eastAsia="Times New Roman" w:hAnsi="Calibri" w:cs="Times New Roman"/>
      <w:color w:val="000000"/>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
    <w:name w:val="Grid Table 5 Dark1"/>
    <w:basedOn w:val="TableNormal"/>
    <w:uiPriority w:val="50"/>
    <w:rsid w:val="00F90660"/>
    <w:pPr>
      <w:spacing w:after="0" w:line="240" w:lineRule="auto"/>
    </w:pPr>
    <w:rPr>
      <w:rFonts w:ascii="Avenir LT Std 45 Book" w:eastAsia="Times New Roman" w:hAnsi="Avenir LT Std 45 Book" w:cs="Times New Roman"/>
      <w:color w:val="000000"/>
      <w:sz w:val="20"/>
      <w:szCs w:val="20"/>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472C4"/>
        <w:vAlign w:val="center"/>
      </w:tcPr>
    </w:tblStylePr>
    <w:tblStylePr w:type="lastRow">
      <w:rPr>
        <w:b/>
        <w:bCs/>
        <w:color w:val="FFFFFF"/>
      </w:rPr>
      <w:tblPr/>
      <w:tcPr>
        <w:shd w:val="clear" w:color="auto" w:fill="A5A5A5"/>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A5A5A5"/>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
    <w:name w:val="P&amp;G Table"/>
    <w:basedOn w:val="TableNormal"/>
    <w:uiPriority w:val="99"/>
    <w:rsid w:val="00F90660"/>
    <w:pPr>
      <w:spacing w:after="0" w:line="240" w:lineRule="auto"/>
    </w:pPr>
    <w:rPr>
      <w:rFonts w:ascii="Calibri" w:eastAsia="Times New Roman" w:hAnsi="Calibri" w:cs="Times New Roman"/>
      <w:sz w:val="20"/>
      <w:szCs w:val="20"/>
    </w:rPr>
    <w:tblPr/>
  </w:style>
  <w:style w:type="paragraph" w:customStyle="1" w:styleId="Subtitle1">
    <w:name w:val="Subtitle1"/>
    <w:basedOn w:val="Normal"/>
    <w:next w:val="Normal"/>
    <w:uiPriority w:val="11"/>
    <w:qFormat/>
    <w:rsid w:val="00F90660"/>
    <w:pPr>
      <w:numPr>
        <w:ilvl w:val="1"/>
      </w:numPr>
      <w:spacing w:after="120" w:line="240" w:lineRule="auto"/>
      <w:jc w:val="both"/>
    </w:pPr>
    <w:rPr>
      <w:rFonts w:ascii="Calibri Light" w:eastAsia="Times New Roman" w:hAnsi="Calibri Light" w:cs="Times New Roman"/>
      <w:sz w:val="24"/>
      <w:szCs w:val="24"/>
    </w:rPr>
  </w:style>
  <w:style w:type="character" w:customStyle="1" w:styleId="SubtitleChar">
    <w:name w:val="Subtitle Char"/>
    <w:basedOn w:val="DefaultParagraphFont"/>
    <w:link w:val="Subtitle"/>
    <w:uiPriority w:val="11"/>
    <w:rsid w:val="00F90660"/>
    <w:rPr>
      <w:rFonts w:ascii="Calibri Light" w:eastAsia="Times New Roman" w:hAnsi="Calibri Light" w:cs="Times New Roman"/>
      <w:sz w:val="24"/>
      <w:szCs w:val="24"/>
    </w:rPr>
  </w:style>
  <w:style w:type="character" w:styleId="IntenseEmphasis">
    <w:name w:val="Intense Emphasis"/>
    <w:basedOn w:val="DefaultParagraphFont"/>
    <w:uiPriority w:val="21"/>
    <w:qFormat/>
    <w:rsid w:val="00F90660"/>
    <w:rPr>
      <w:b/>
      <w:bCs/>
      <w:i/>
      <w:iCs/>
    </w:rPr>
  </w:style>
  <w:style w:type="table" w:customStyle="1" w:styleId="GridTable4-Accent51">
    <w:name w:val="Grid Table 4 - Accent 51"/>
    <w:aliases w:val="P&amp;G time table"/>
    <w:basedOn w:val="TableNormal"/>
    <w:uiPriority w:val="49"/>
    <w:rsid w:val="00F90660"/>
    <w:pPr>
      <w:spacing w:after="0" w:line="240" w:lineRule="auto"/>
    </w:pPr>
    <w:rPr>
      <w:rFonts w:ascii="Avenir LT Std 45 Book" w:eastAsia="Times New Roman" w:hAnsi="Avenir LT Std 45 Book" w:cs="Times New Roman"/>
      <w:color w:val="000000"/>
      <w:sz w:val="20"/>
      <w:szCs w:val="20"/>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
    <w:name w:val="Time table"/>
    <w:basedOn w:val="TableNormal"/>
    <w:uiPriority w:val="99"/>
    <w:rsid w:val="00F90660"/>
    <w:pPr>
      <w:spacing w:after="0" w:line="240" w:lineRule="auto"/>
    </w:pPr>
    <w:rPr>
      <w:rFonts w:ascii="Calibri" w:eastAsia="Times New Roman" w:hAnsi="Calibri" w:cs="Times New Roman"/>
      <w:sz w:val="20"/>
      <w:szCs w:val="20"/>
    </w:rPr>
    <w:tblPr/>
  </w:style>
  <w:style w:type="table" w:customStyle="1" w:styleId="GridTable5Dark-Accent51">
    <w:name w:val="Grid Table 5 Dark - Accent 51"/>
    <w:basedOn w:val="TableNormal"/>
    <w:uiPriority w:val="50"/>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61">
    <w:name w:val="Grid Table 4 - Accent 61"/>
    <w:basedOn w:val="TableNormal"/>
    <w:uiPriority w:val="49"/>
    <w:rsid w:val="00F90660"/>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
    <w:name w:val="Grid Table 4 - Accent 612"/>
    <w:basedOn w:val="TableNormal"/>
    <w:next w:val="GridTable4-Accent61"/>
    <w:uiPriority w:val="49"/>
    <w:rsid w:val="00F90660"/>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
    <w:name w:val="Grid Table 4 - Accent 611"/>
    <w:basedOn w:val="TableNormal"/>
    <w:next w:val="GridTable4-Accent61"/>
    <w:uiPriority w:val="49"/>
    <w:rsid w:val="00F90660"/>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70AD47"/>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
    <w:name w:val="Grid Table 4 - Accent 11"/>
    <w:basedOn w:val="TableNormal"/>
    <w:uiPriority w:val="49"/>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41">
    <w:name w:val="Grid Table 4 - Accent 41"/>
    <w:basedOn w:val="TableNormal"/>
    <w:uiPriority w:val="49"/>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7Colorful1">
    <w:name w:val="Grid Table 7 Colorful1"/>
    <w:basedOn w:val="TableNormal"/>
    <w:uiPriority w:val="52"/>
    <w:rsid w:val="00F90660"/>
    <w:pPr>
      <w:spacing w:after="0" w:line="240" w:lineRule="auto"/>
    </w:pPr>
    <w:rPr>
      <w:rFonts w:ascii="Calibri" w:eastAsia="Times New Roman"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SubtleEmphasis1">
    <w:name w:val="Subtle Emphasis1"/>
    <w:basedOn w:val="DefaultParagraphFont"/>
    <w:uiPriority w:val="19"/>
    <w:qFormat/>
    <w:rsid w:val="00F90660"/>
    <w:rPr>
      <w:i/>
      <w:iCs/>
      <w:color w:val="404040"/>
    </w:rPr>
  </w:style>
  <w:style w:type="table" w:customStyle="1" w:styleId="TableGrid111">
    <w:name w:val="Table Grid111"/>
    <w:basedOn w:val="TableNormal"/>
    <w:next w:val="TableGrid"/>
    <w:uiPriority w:val="59"/>
    <w:rsid w:val="00F90660"/>
    <w:pPr>
      <w:spacing w:after="0" w:line="240" w:lineRule="auto"/>
    </w:pPr>
    <w:rPr>
      <w:rFonts w:ascii="Times New Roman" w:eastAsia="SimSu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
    <w:name w:val="listTable"/>
    <w:uiPriority w:val="99"/>
    <w:rsid w:val="00F90660"/>
    <w:pPr>
      <w:spacing w:after="200" w:line="276" w:lineRule="auto"/>
    </w:pPr>
    <w:rPr>
      <w:rFonts w:ascii="Calibri" w:eastAsia="Calibri" w:hAnsi="Calibri" w:cs="Calibri"/>
      <w:sz w:val="20"/>
      <w:szCs w:val="20"/>
      <w:lang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
    <w:name w:val="test"/>
    <w:basedOn w:val="TableNormal"/>
    <w:uiPriority w:val="99"/>
    <w:rsid w:val="00F90660"/>
    <w:pPr>
      <w:spacing w:after="0" w:line="240" w:lineRule="auto"/>
    </w:pPr>
    <w:rPr>
      <w:rFonts w:ascii="Calibri" w:eastAsia="Times New Roman" w:hAnsi="Calibri" w:cs="Times New Roman"/>
      <w:sz w:val="20"/>
      <w:szCs w:val="20"/>
    </w:rPr>
    <w:tblPr/>
  </w:style>
  <w:style w:type="paragraph" w:styleId="Caption">
    <w:name w:val="caption"/>
    <w:aliases w:val="Saspiestie"/>
    <w:basedOn w:val="Normal"/>
    <w:next w:val="Normal"/>
    <w:uiPriority w:val="35"/>
    <w:unhideWhenUsed/>
    <w:qFormat/>
    <w:rsid w:val="00F90660"/>
    <w:pPr>
      <w:spacing w:after="120" w:line="240" w:lineRule="auto"/>
      <w:jc w:val="both"/>
    </w:pPr>
    <w:rPr>
      <w:rFonts w:ascii="Tahoma" w:eastAsia="Times New Roman" w:hAnsi="Tahoma" w:cs="Times New Roman"/>
      <w:bCs/>
      <w:sz w:val="20"/>
      <w:szCs w:val="20"/>
    </w:rPr>
  </w:style>
  <w:style w:type="table" w:customStyle="1" w:styleId="LightShading-Accent11">
    <w:name w:val="Light Shading - Accent 11"/>
    <w:basedOn w:val="TableNormal"/>
    <w:uiPriority w:val="60"/>
    <w:semiHidden/>
    <w:unhideWhenUsed/>
    <w:rsid w:val="00F90660"/>
    <w:pPr>
      <w:spacing w:after="0" w:line="240" w:lineRule="auto"/>
    </w:pPr>
    <w:rPr>
      <w:rFonts w:ascii="Calibri" w:eastAsia="Times New Roman" w:hAnsi="Calibri" w:cs="Times New Roman"/>
      <w:color w:val="2F5496"/>
      <w:sz w:val="20"/>
      <w:szCs w:val="20"/>
    </w:rPr>
    <w:tblPr>
      <w:tblStyleRowBandSize w:val="1"/>
      <w:tblStyleColBandSize w:val="1"/>
      <w:tblBorders>
        <w:top w:val="single" w:sz="8" w:space="0" w:color="4472C4"/>
        <w:bottom w:val="single" w:sz="8" w:space="0" w:color="4472C4"/>
      </w:tblBorders>
    </w:tblPr>
    <w:tblStylePr w:type="fir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Shading-Accent41">
    <w:name w:val="Light Shading - Accent 41"/>
    <w:basedOn w:val="TableNormal"/>
    <w:next w:val="LightShading-Accent4"/>
    <w:uiPriority w:val="60"/>
    <w:semiHidden/>
    <w:unhideWhenUsed/>
    <w:rsid w:val="00F90660"/>
    <w:pPr>
      <w:spacing w:after="0" w:line="240" w:lineRule="auto"/>
    </w:pPr>
    <w:rPr>
      <w:rFonts w:ascii="Calibri" w:eastAsia="Times New Roman" w:hAnsi="Calibri" w:cs="Times New Roman"/>
      <w:color w:val="BF8F00"/>
      <w:sz w:val="20"/>
      <w:szCs w:val="20"/>
    </w:rPr>
    <w:tblPr>
      <w:tblStyleRowBandSize w:val="1"/>
      <w:tblStyleColBandSize w:val="1"/>
      <w:tblBorders>
        <w:top w:val="single" w:sz="8" w:space="0" w:color="FFC000"/>
        <w:bottom w:val="single" w:sz="8" w:space="0" w:color="FFC000"/>
      </w:tblBorders>
    </w:tblPr>
    <w:tblStylePr w:type="fir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styleId="TOCHeading">
    <w:name w:val="TOC Heading"/>
    <w:basedOn w:val="Heading1"/>
    <w:next w:val="Normal"/>
    <w:uiPriority w:val="39"/>
    <w:unhideWhenUsed/>
    <w:qFormat/>
    <w:rsid w:val="00F90660"/>
    <w:pPr>
      <w:keepNext w:val="0"/>
      <w:keepLines w:val="0"/>
      <w:spacing w:before="0" w:after="240" w:line="240" w:lineRule="auto"/>
      <w:ind w:left="720" w:hanging="360"/>
      <w:jc w:val="center"/>
      <w:outlineLvl w:val="9"/>
    </w:pPr>
    <w:rPr>
      <w:rFonts w:ascii="Tahoma" w:eastAsia="Times New Roman" w:hAnsi="Tahoma" w:cs="Tahoma"/>
      <w:b w:val="0"/>
      <w:color w:val="595959"/>
      <w:spacing w:val="22"/>
      <w:sz w:val="48"/>
      <w:szCs w:val="20"/>
      <w:lang w:val="lv-LV"/>
    </w:rPr>
  </w:style>
  <w:style w:type="paragraph" w:styleId="TOC2">
    <w:name w:val="toc 2"/>
    <w:basedOn w:val="Normal"/>
    <w:next w:val="Normal"/>
    <w:autoRedefine/>
    <w:uiPriority w:val="39"/>
    <w:unhideWhenUsed/>
    <w:rsid w:val="00F90660"/>
    <w:pPr>
      <w:spacing w:after="100" w:line="264" w:lineRule="auto"/>
      <w:ind w:left="220"/>
      <w:jc w:val="both"/>
    </w:pPr>
    <w:rPr>
      <w:rFonts w:ascii="Tahoma" w:eastAsia="Times New Roman" w:hAnsi="Tahoma" w:cs="Times New Roman"/>
      <w:sz w:val="20"/>
      <w:szCs w:val="20"/>
    </w:rPr>
  </w:style>
  <w:style w:type="paragraph" w:styleId="TOC1">
    <w:name w:val="toc 1"/>
    <w:basedOn w:val="Normal"/>
    <w:next w:val="Normal"/>
    <w:autoRedefine/>
    <w:uiPriority w:val="39"/>
    <w:unhideWhenUsed/>
    <w:rsid w:val="00F90660"/>
    <w:pPr>
      <w:spacing w:after="100" w:line="264" w:lineRule="auto"/>
      <w:jc w:val="both"/>
    </w:pPr>
    <w:rPr>
      <w:rFonts w:ascii="Tahoma" w:eastAsia="Times New Roman" w:hAnsi="Tahoma" w:cs="Times New Roman"/>
      <w:sz w:val="20"/>
      <w:szCs w:val="20"/>
    </w:rPr>
  </w:style>
  <w:style w:type="paragraph" w:styleId="EndnoteText">
    <w:name w:val="endnote text"/>
    <w:basedOn w:val="Normal"/>
    <w:link w:val="EndnoteTextChar"/>
    <w:uiPriority w:val="99"/>
    <w:semiHidden/>
    <w:unhideWhenUsed/>
    <w:rsid w:val="00F90660"/>
    <w:pPr>
      <w:spacing w:after="0" w:line="240" w:lineRule="auto"/>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semiHidden/>
    <w:rsid w:val="00F90660"/>
    <w:rPr>
      <w:rFonts w:ascii="Tahoma" w:eastAsia="Times New Roman" w:hAnsi="Tahoma" w:cs="Times New Roman"/>
      <w:sz w:val="20"/>
      <w:szCs w:val="20"/>
    </w:rPr>
  </w:style>
  <w:style w:type="character" w:styleId="EndnoteReference">
    <w:name w:val="endnote reference"/>
    <w:basedOn w:val="DefaultParagraphFont"/>
    <w:uiPriority w:val="99"/>
    <w:semiHidden/>
    <w:unhideWhenUsed/>
    <w:rsid w:val="00F90660"/>
    <w:rPr>
      <w:vertAlign w:val="superscript"/>
    </w:rPr>
  </w:style>
  <w:style w:type="paragraph" w:customStyle="1" w:styleId="font--serif">
    <w:name w:val="font--serif"/>
    <w:basedOn w:val="Normal"/>
    <w:rsid w:val="00F90660"/>
    <w:pPr>
      <w:spacing w:before="100" w:beforeAutospacing="1" w:after="100" w:afterAutospacing="1" w:line="240" w:lineRule="auto"/>
      <w:jc w:val="both"/>
    </w:pPr>
    <w:rPr>
      <w:rFonts w:ascii="Times New Roman" w:eastAsia="Times New Roman" w:hAnsi="Times New Roman" w:cs="Times New Roman"/>
      <w:sz w:val="24"/>
      <w:szCs w:val="24"/>
      <w:lang w:val="en-GB" w:eastAsia="en-GB"/>
    </w:rPr>
  </w:style>
  <w:style w:type="paragraph" w:styleId="TOC3">
    <w:name w:val="toc 3"/>
    <w:basedOn w:val="Normal"/>
    <w:next w:val="Normal"/>
    <w:autoRedefine/>
    <w:uiPriority w:val="39"/>
    <w:unhideWhenUsed/>
    <w:rsid w:val="00F90660"/>
    <w:pPr>
      <w:spacing w:after="100" w:line="264" w:lineRule="auto"/>
      <w:ind w:left="440"/>
      <w:jc w:val="both"/>
    </w:pPr>
    <w:rPr>
      <w:rFonts w:ascii="Tahoma" w:eastAsia="Times New Roman" w:hAnsi="Tahoma" w:cs="Times New Roman"/>
      <w:sz w:val="20"/>
      <w:szCs w:val="20"/>
    </w:rPr>
  </w:style>
  <w:style w:type="paragraph" w:customStyle="1" w:styleId="Tabula1">
    <w:name w:val="Tabula1"/>
    <w:basedOn w:val="Normal"/>
    <w:next w:val="Normal"/>
    <w:uiPriority w:val="29"/>
    <w:qFormat/>
    <w:rsid w:val="00F90660"/>
    <w:pPr>
      <w:spacing w:before="160" w:after="120" w:line="264" w:lineRule="auto"/>
      <w:ind w:left="720" w:right="720"/>
      <w:jc w:val="both"/>
    </w:pPr>
    <w:rPr>
      <w:rFonts w:ascii="Tahoma" w:eastAsia="Times New Roman" w:hAnsi="Tahoma" w:cs="Times New Roman"/>
      <w:i/>
      <w:iCs/>
      <w:color w:val="404040"/>
      <w:sz w:val="20"/>
      <w:szCs w:val="20"/>
    </w:rPr>
  </w:style>
  <w:style w:type="character" w:customStyle="1" w:styleId="QuoteChar">
    <w:name w:val="Quote Char"/>
    <w:basedOn w:val="DefaultParagraphFont"/>
    <w:link w:val="Quote"/>
    <w:uiPriority w:val="29"/>
    <w:rsid w:val="00F90660"/>
    <w:rPr>
      <w:rFonts w:ascii="Tahoma" w:eastAsia="Times New Roman" w:hAnsi="Tahoma"/>
      <w:i/>
      <w:iCs/>
      <w:color w:val="404040"/>
      <w:sz w:val="20"/>
      <w:szCs w:val="20"/>
    </w:rPr>
  </w:style>
  <w:style w:type="table" w:customStyle="1" w:styleId="ListTable2-Accent31">
    <w:name w:val="List Table 2 - Accent 31"/>
    <w:basedOn w:val="TableNormal"/>
    <w:uiPriority w:val="47"/>
    <w:rsid w:val="00F90660"/>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11">
    <w:name w:val="List Table 3 - Accent 11"/>
    <w:basedOn w:val="TableNormal"/>
    <w:uiPriority w:val="48"/>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1Light-Accent31">
    <w:name w:val="Grid Table 1 Light - Accent 31"/>
    <w:basedOn w:val="TableNormal"/>
    <w:uiPriority w:val="46"/>
    <w:rsid w:val="00F90660"/>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MEstils1">
    <w:name w:val="ME stils 1"/>
    <w:basedOn w:val="Normal"/>
    <w:link w:val="MEstils1Rakstz"/>
    <w:rsid w:val="00F90660"/>
    <w:pPr>
      <w:spacing w:after="120" w:line="264" w:lineRule="auto"/>
      <w:jc w:val="both"/>
    </w:pPr>
    <w:rPr>
      <w:rFonts w:ascii="Tahoma" w:eastAsia="Times New Roman" w:hAnsi="Tahoma" w:cs="Times New Roman"/>
      <w:sz w:val="24"/>
    </w:rPr>
  </w:style>
  <w:style w:type="character" w:customStyle="1" w:styleId="MEstils1Rakstz">
    <w:name w:val="ME stils 1 Rakstz."/>
    <w:basedOn w:val="DefaultParagraphFont"/>
    <w:link w:val="MEstils1"/>
    <w:rsid w:val="00F90660"/>
    <w:rPr>
      <w:rFonts w:ascii="Tahoma" w:eastAsia="Times New Roman" w:hAnsi="Tahoma" w:cs="Times New Roman"/>
      <w:sz w:val="24"/>
    </w:rPr>
  </w:style>
  <w:style w:type="character" w:customStyle="1" w:styleId="UnresolvedMention2">
    <w:name w:val="Unresolved Mention2"/>
    <w:basedOn w:val="DefaultParagraphFont"/>
    <w:uiPriority w:val="99"/>
    <w:semiHidden/>
    <w:unhideWhenUsed/>
    <w:rsid w:val="00F90660"/>
    <w:rPr>
      <w:color w:val="605E5C"/>
      <w:shd w:val="clear" w:color="auto" w:fill="E1DFDD"/>
    </w:rPr>
  </w:style>
  <w:style w:type="character" w:customStyle="1" w:styleId="UnresolvedMention3">
    <w:name w:val="Unresolved Mention3"/>
    <w:basedOn w:val="DefaultParagraphFont"/>
    <w:uiPriority w:val="99"/>
    <w:semiHidden/>
    <w:unhideWhenUsed/>
    <w:rsid w:val="00F90660"/>
    <w:rPr>
      <w:color w:val="605E5C"/>
      <w:shd w:val="clear" w:color="auto" w:fill="E1DFDD"/>
    </w:rPr>
  </w:style>
  <w:style w:type="table" w:customStyle="1" w:styleId="LightList-Accent31">
    <w:name w:val="Light List - Accent 31"/>
    <w:basedOn w:val="TableNormal"/>
    <w:next w:val="LightList-Accent3"/>
    <w:uiPriority w:val="61"/>
    <w:rsid w:val="00F90660"/>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ListTable3-Accent31">
    <w:name w:val="List Table 3 - Accent 31"/>
    <w:basedOn w:val="TableNormal"/>
    <w:uiPriority w:val="48"/>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UnresolvedMention4">
    <w:name w:val="Unresolved Mention4"/>
    <w:basedOn w:val="DefaultParagraphFont"/>
    <w:uiPriority w:val="99"/>
    <w:semiHidden/>
    <w:unhideWhenUsed/>
    <w:rsid w:val="00F90660"/>
    <w:rPr>
      <w:color w:val="605E5C"/>
      <w:shd w:val="clear" w:color="auto" w:fill="E1DFDD"/>
    </w:rPr>
  </w:style>
  <w:style w:type="paragraph" w:customStyle="1" w:styleId="Reference">
    <w:name w:val="Reference"/>
    <w:basedOn w:val="FootnoteText"/>
    <w:link w:val="ReferenceChar"/>
    <w:qFormat/>
    <w:rsid w:val="00F90660"/>
    <w:pPr>
      <w:jc w:val="both"/>
    </w:pPr>
    <w:rPr>
      <w:rFonts w:ascii="Tahoma" w:eastAsia="SimSun" w:hAnsi="Tahoma"/>
      <w:color w:val="404040"/>
      <w:sz w:val="16"/>
      <w:lang w:val="en-GB" w:eastAsia="zh-CN"/>
    </w:rPr>
  </w:style>
  <w:style w:type="character" w:customStyle="1" w:styleId="ReferenceChar">
    <w:name w:val="Reference Char"/>
    <w:basedOn w:val="FootnoteTextChar"/>
    <w:link w:val="Reference"/>
    <w:rsid w:val="00F90660"/>
    <w:rPr>
      <w:rFonts w:ascii="Tahoma" w:eastAsia="SimSun" w:hAnsi="Tahoma" w:cs="Times New Roman"/>
      <w:color w:val="404040"/>
      <w:sz w:val="16"/>
      <w:szCs w:val="20"/>
      <w:lang w:val="en-GB" w:eastAsia="zh-CN"/>
    </w:rPr>
  </w:style>
  <w:style w:type="paragraph" w:customStyle="1" w:styleId="Title1">
    <w:name w:val="Title1"/>
    <w:basedOn w:val="Normal"/>
    <w:next w:val="Normal"/>
    <w:uiPriority w:val="10"/>
    <w:qFormat/>
    <w:rsid w:val="00F90660"/>
    <w:pPr>
      <w:spacing w:after="0" w:line="240" w:lineRule="auto"/>
      <w:contextualSpacing/>
      <w:jc w:val="both"/>
    </w:pPr>
    <w:rPr>
      <w:rFonts w:ascii="Calibri Light" w:eastAsia="Times New Roman" w:hAnsi="Calibri Light" w:cs="Times New Roman"/>
      <w:color w:val="4472C4"/>
      <w:spacing w:val="-10"/>
      <w:sz w:val="56"/>
      <w:szCs w:val="56"/>
    </w:rPr>
  </w:style>
  <w:style w:type="character" w:customStyle="1" w:styleId="TitleChar">
    <w:name w:val="Title Char"/>
    <w:basedOn w:val="DefaultParagraphFont"/>
    <w:link w:val="Title"/>
    <w:uiPriority w:val="10"/>
    <w:rsid w:val="00F90660"/>
    <w:rPr>
      <w:rFonts w:ascii="Calibri Light" w:eastAsia="Times New Roman" w:hAnsi="Calibri Light" w:cs="Times New Roman"/>
      <w:color w:val="4472C4"/>
      <w:spacing w:val="-10"/>
      <w:sz w:val="56"/>
      <w:szCs w:val="56"/>
    </w:rPr>
  </w:style>
  <w:style w:type="character" w:customStyle="1" w:styleId="SubtleReference1">
    <w:name w:val="Subtle Reference1"/>
    <w:basedOn w:val="DefaultParagraphFont"/>
    <w:uiPriority w:val="31"/>
    <w:qFormat/>
    <w:rsid w:val="00F90660"/>
    <w:rPr>
      <w:smallCaps/>
      <w:color w:val="404040"/>
      <w:u w:val="single" w:color="7F7F7F"/>
    </w:rPr>
  </w:style>
  <w:style w:type="character" w:styleId="IntenseReference">
    <w:name w:val="Intense Reference"/>
    <w:basedOn w:val="DefaultParagraphFont"/>
    <w:uiPriority w:val="32"/>
    <w:qFormat/>
    <w:rsid w:val="00F90660"/>
    <w:rPr>
      <w:b/>
      <w:bCs/>
      <w:smallCaps/>
      <w:spacing w:val="5"/>
      <w:u w:val="single"/>
    </w:rPr>
  </w:style>
  <w:style w:type="character" w:styleId="BookTitle">
    <w:name w:val="Book Title"/>
    <w:basedOn w:val="DefaultParagraphFont"/>
    <w:uiPriority w:val="33"/>
    <w:qFormat/>
    <w:rsid w:val="00F90660"/>
    <w:rPr>
      <w:b/>
      <w:bCs/>
      <w:smallCaps/>
    </w:rPr>
  </w:style>
  <w:style w:type="table" w:customStyle="1" w:styleId="GridTable3-Accent31">
    <w:name w:val="Grid Table 3 - Accent 31"/>
    <w:basedOn w:val="TableNormal"/>
    <w:uiPriority w:val="48"/>
    <w:rsid w:val="00F90660"/>
    <w:pPr>
      <w:spacing w:after="0" w:line="240" w:lineRule="auto"/>
    </w:pPr>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customStyle="1" w:styleId="gd">
    <w:name w:val="gd"/>
    <w:basedOn w:val="DefaultParagraphFont"/>
    <w:rsid w:val="00F90660"/>
  </w:style>
  <w:style w:type="character" w:customStyle="1" w:styleId="UnresolvedMention5">
    <w:name w:val="Unresolved Mention5"/>
    <w:basedOn w:val="DefaultParagraphFont"/>
    <w:uiPriority w:val="99"/>
    <w:semiHidden/>
    <w:unhideWhenUsed/>
    <w:rsid w:val="00F90660"/>
    <w:rPr>
      <w:color w:val="605E5C"/>
      <w:shd w:val="clear" w:color="auto" w:fill="E1DFDD"/>
    </w:rPr>
  </w:style>
  <w:style w:type="paragraph" w:customStyle="1" w:styleId="Normal1">
    <w:name w:val="Normal1"/>
    <w:basedOn w:val="Normal"/>
    <w:rsid w:val="00F90660"/>
    <w:pPr>
      <w:spacing w:before="100" w:beforeAutospacing="1" w:after="100" w:afterAutospacing="1" w:line="240" w:lineRule="auto"/>
      <w:jc w:val="both"/>
    </w:pPr>
    <w:rPr>
      <w:rFonts w:ascii="Times New Roman" w:eastAsia="Times New Roman" w:hAnsi="Times New Roman" w:cs="Times New Roman"/>
      <w:sz w:val="24"/>
      <w:szCs w:val="24"/>
      <w:lang w:eastAsia="lv-LV"/>
    </w:rPr>
  </w:style>
  <w:style w:type="paragraph" w:customStyle="1" w:styleId="doc-ti">
    <w:name w:val="doc-ti"/>
    <w:basedOn w:val="Normal"/>
    <w:rsid w:val="00F90660"/>
    <w:pPr>
      <w:spacing w:before="100" w:beforeAutospacing="1" w:after="100" w:afterAutospacing="1" w:line="240" w:lineRule="auto"/>
      <w:jc w:val="both"/>
    </w:pPr>
    <w:rPr>
      <w:rFonts w:ascii="Times New Roman" w:eastAsia="Times New Roman" w:hAnsi="Times New Roman" w:cs="Times New Roman"/>
      <w:sz w:val="24"/>
      <w:szCs w:val="24"/>
      <w:lang w:eastAsia="lv-LV"/>
    </w:rPr>
  </w:style>
  <w:style w:type="character" w:customStyle="1" w:styleId="UnresolvedMention6">
    <w:name w:val="Unresolved Mention6"/>
    <w:basedOn w:val="DefaultParagraphFont"/>
    <w:uiPriority w:val="99"/>
    <w:semiHidden/>
    <w:unhideWhenUsed/>
    <w:rsid w:val="00F90660"/>
    <w:rPr>
      <w:color w:val="808080"/>
      <w:shd w:val="clear" w:color="auto" w:fill="E6E6E6"/>
    </w:rPr>
  </w:style>
  <w:style w:type="paragraph" w:customStyle="1" w:styleId="Parastais">
    <w:name w:val="Parastais"/>
    <w:qFormat/>
    <w:rsid w:val="00F90660"/>
    <w:pPr>
      <w:spacing w:after="0" w:line="240" w:lineRule="auto"/>
    </w:pPr>
    <w:rPr>
      <w:rFonts w:ascii="Times New Roman" w:eastAsia="Times New Roman" w:hAnsi="Times New Roman" w:cs="Times New Roman"/>
      <w:sz w:val="24"/>
      <w:szCs w:val="24"/>
      <w:lang w:eastAsia="lv-LV"/>
    </w:rPr>
  </w:style>
  <w:style w:type="character" w:customStyle="1" w:styleId="UnresolvedMention7">
    <w:name w:val="Unresolved Mention7"/>
    <w:basedOn w:val="DefaultParagraphFont"/>
    <w:uiPriority w:val="99"/>
    <w:semiHidden/>
    <w:unhideWhenUsed/>
    <w:rsid w:val="00F90660"/>
    <w:rPr>
      <w:color w:val="605E5C"/>
      <w:shd w:val="clear" w:color="auto" w:fill="E1DFDD"/>
    </w:rPr>
  </w:style>
  <w:style w:type="table" w:customStyle="1" w:styleId="PlainTable11">
    <w:name w:val="Plain Table 11"/>
    <w:basedOn w:val="TableNormal"/>
    <w:uiPriority w:val="41"/>
    <w:rsid w:val="00F90660"/>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1">
    <w:name w:val="Table Grid21"/>
    <w:basedOn w:val="TableNormal"/>
    <w:next w:val="TableGrid"/>
    <w:uiPriority w:val="59"/>
    <w:rsid w:val="00F90660"/>
    <w:pPr>
      <w:spacing w:after="0" w:line="240" w:lineRule="auto"/>
    </w:pPr>
    <w:rPr>
      <w:rFonts w:ascii="Calibri" w:eastAsia="Times New Roman"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0660"/>
    <w:pPr>
      <w:spacing w:after="0" w:line="240" w:lineRule="auto"/>
    </w:pPr>
    <w:rPr>
      <w:rFonts w:ascii="Calibri" w:eastAsia="Times New Roman"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F90660"/>
    <w:rPr>
      <w:color w:val="605E5C"/>
      <w:shd w:val="clear" w:color="auto" w:fill="E1DFDD"/>
    </w:rPr>
  </w:style>
  <w:style w:type="character" w:customStyle="1" w:styleId="UnresolvedMention9">
    <w:name w:val="Unresolved Mention9"/>
    <w:basedOn w:val="DefaultParagraphFont"/>
    <w:uiPriority w:val="99"/>
    <w:semiHidden/>
    <w:unhideWhenUsed/>
    <w:rsid w:val="00F90660"/>
    <w:rPr>
      <w:color w:val="605E5C"/>
      <w:shd w:val="clear" w:color="auto" w:fill="E1DFDD"/>
    </w:rPr>
  </w:style>
  <w:style w:type="paragraph" w:customStyle="1" w:styleId="petijums">
    <w:name w:val="petijums"/>
    <w:basedOn w:val="Normal"/>
    <w:qFormat/>
    <w:rsid w:val="00F90660"/>
    <w:pPr>
      <w:tabs>
        <w:tab w:val="left" w:pos="1701"/>
      </w:tabs>
      <w:spacing w:after="120" w:line="240" w:lineRule="auto"/>
      <w:jc w:val="both"/>
    </w:pPr>
    <w:rPr>
      <w:rFonts w:ascii="Tahoma" w:eastAsia="Times New Roman" w:hAnsi="Tahoma" w:cs="Tahoma"/>
      <w:sz w:val="20"/>
      <w:szCs w:val="20"/>
      <w:lang w:eastAsia="lv-LV"/>
    </w:rPr>
  </w:style>
  <w:style w:type="table" w:customStyle="1" w:styleId="GridTable1Light-Accent61">
    <w:name w:val="Grid Table 1 Light - Accent 61"/>
    <w:basedOn w:val="TableNormal"/>
    <w:uiPriority w:val="46"/>
    <w:rsid w:val="00F90660"/>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F90660"/>
    <w:rPr>
      <w:color w:val="808080"/>
    </w:rPr>
  </w:style>
  <w:style w:type="character" w:customStyle="1" w:styleId="UnresolvedMention10">
    <w:name w:val="Unresolved Mention10"/>
    <w:basedOn w:val="DefaultParagraphFont"/>
    <w:uiPriority w:val="99"/>
    <w:semiHidden/>
    <w:unhideWhenUsed/>
    <w:rsid w:val="00F90660"/>
    <w:rPr>
      <w:color w:val="605E5C"/>
      <w:shd w:val="clear" w:color="auto" w:fill="E1DFDD"/>
    </w:rPr>
  </w:style>
  <w:style w:type="character" w:customStyle="1" w:styleId="UnresolvedMention11">
    <w:name w:val="Unresolved Mention11"/>
    <w:basedOn w:val="DefaultParagraphFont"/>
    <w:uiPriority w:val="99"/>
    <w:semiHidden/>
    <w:unhideWhenUsed/>
    <w:rsid w:val="00F90660"/>
    <w:rPr>
      <w:color w:val="605E5C"/>
      <w:shd w:val="clear" w:color="auto" w:fill="E1DFDD"/>
    </w:rPr>
  </w:style>
  <w:style w:type="paragraph" w:customStyle="1" w:styleId="TOC41">
    <w:name w:val="TOC 41"/>
    <w:basedOn w:val="Normal"/>
    <w:next w:val="Normal"/>
    <w:autoRedefine/>
    <w:uiPriority w:val="39"/>
    <w:unhideWhenUsed/>
    <w:rsid w:val="00F90660"/>
    <w:pPr>
      <w:spacing w:after="100"/>
      <w:ind w:left="660"/>
    </w:pPr>
    <w:rPr>
      <w:rFonts w:ascii="Calibri" w:eastAsia="Times New Roman" w:hAnsi="Calibri" w:cs="Times New Roman"/>
      <w:lang w:eastAsia="lv-LV"/>
    </w:rPr>
  </w:style>
  <w:style w:type="paragraph" w:customStyle="1" w:styleId="TOC51">
    <w:name w:val="TOC 51"/>
    <w:basedOn w:val="Normal"/>
    <w:next w:val="Normal"/>
    <w:autoRedefine/>
    <w:uiPriority w:val="39"/>
    <w:unhideWhenUsed/>
    <w:rsid w:val="00F90660"/>
    <w:pPr>
      <w:spacing w:after="100"/>
      <w:ind w:left="880"/>
    </w:pPr>
    <w:rPr>
      <w:rFonts w:ascii="Calibri" w:eastAsia="Times New Roman" w:hAnsi="Calibri" w:cs="Times New Roman"/>
      <w:lang w:eastAsia="lv-LV"/>
    </w:rPr>
  </w:style>
  <w:style w:type="paragraph" w:customStyle="1" w:styleId="TOC61">
    <w:name w:val="TOC 61"/>
    <w:basedOn w:val="Normal"/>
    <w:next w:val="Normal"/>
    <w:autoRedefine/>
    <w:uiPriority w:val="39"/>
    <w:unhideWhenUsed/>
    <w:rsid w:val="00F90660"/>
    <w:pPr>
      <w:spacing w:after="100"/>
      <w:ind w:left="1100"/>
    </w:pPr>
    <w:rPr>
      <w:rFonts w:ascii="Calibri" w:eastAsia="Times New Roman" w:hAnsi="Calibri" w:cs="Times New Roman"/>
      <w:lang w:eastAsia="lv-LV"/>
    </w:rPr>
  </w:style>
  <w:style w:type="paragraph" w:customStyle="1" w:styleId="TOC71">
    <w:name w:val="TOC 71"/>
    <w:basedOn w:val="Normal"/>
    <w:next w:val="Normal"/>
    <w:autoRedefine/>
    <w:uiPriority w:val="39"/>
    <w:unhideWhenUsed/>
    <w:rsid w:val="00F90660"/>
    <w:pPr>
      <w:spacing w:after="100"/>
      <w:ind w:left="1320"/>
    </w:pPr>
    <w:rPr>
      <w:rFonts w:ascii="Calibri" w:eastAsia="Times New Roman" w:hAnsi="Calibri" w:cs="Times New Roman"/>
      <w:lang w:eastAsia="lv-LV"/>
    </w:rPr>
  </w:style>
  <w:style w:type="paragraph" w:customStyle="1" w:styleId="TOC81">
    <w:name w:val="TOC 81"/>
    <w:basedOn w:val="Normal"/>
    <w:next w:val="Normal"/>
    <w:autoRedefine/>
    <w:uiPriority w:val="39"/>
    <w:unhideWhenUsed/>
    <w:rsid w:val="00F90660"/>
    <w:pPr>
      <w:spacing w:after="100"/>
      <w:ind w:left="1540"/>
    </w:pPr>
    <w:rPr>
      <w:rFonts w:ascii="Calibri" w:eastAsia="Times New Roman" w:hAnsi="Calibri" w:cs="Times New Roman"/>
      <w:lang w:eastAsia="lv-LV"/>
    </w:rPr>
  </w:style>
  <w:style w:type="paragraph" w:customStyle="1" w:styleId="TOC91">
    <w:name w:val="TOC 91"/>
    <w:basedOn w:val="Normal"/>
    <w:next w:val="Normal"/>
    <w:autoRedefine/>
    <w:uiPriority w:val="39"/>
    <w:unhideWhenUsed/>
    <w:rsid w:val="00F90660"/>
    <w:pPr>
      <w:spacing w:after="100"/>
      <w:ind w:left="1760"/>
    </w:pPr>
    <w:rPr>
      <w:rFonts w:ascii="Calibri" w:eastAsia="Times New Roman" w:hAnsi="Calibri" w:cs="Times New Roman"/>
      <w:lang w:eastAsia="lv-LV"/>
    </w:rPr>
  </w:style>
  <w:style w:type="paragraph" w:customStyle="1" w:styleId="ListParagraph2">
    <w:name w:val="List Paragraph2"/>
    <w:basedOn w:val="Normal"/>
    <w:rsid w:val="00F90660"/>
    <w:pPr>
      <w:suppressAutoHyphens/>
      <w:spacing w:after="200" w:line="276" w:lineRule="auto"/>
      <w:ind w:left="720"/>
    </w:pPr>
    <w:rPr>
      <w:rFonts w:ascii="Calibri" w:eastAsia="Calibri" w:hAnsi="Calibri" w:cs="Calibri"/>
      <w:lang w:eastAsia="zh-CN"/>
    </w:rPr>
  </w:style>
  <w:style w:type="character" w:customStyle="1" w:styleId="ListLabel12">
    <w:name w:val="ListLabel 12"/>
    <w:qFormat/>
    <w:rsid w:val="00F90660"/>
    <w:rPr>
      <w:lang w:val="lv-LV"/>
    </w:rPr>
  </w:style>
  <w:style w:type="numbering" w:customStyle="1" w:styleId="Bezsaraksta1">
    <w:name w:val="Bez saraksta1"/>
    <w:next w:val="NoList"/>
    <w:uiPriority w:val="99"/>
    <w:semiHidden/>
    <w:unhideWhenUsed/>
    <w:rsid w:val="00F90660"/>
  </w:style>
  <w:style w:type="table" w:customStyle="1" w:styleId="companyTable4">
    <w:name w:val="companyTable4"/>
    <w:uiPriority w:val="99"/>
    <w:rsid w:val="00F90660"/>
    <w:pPr>
      <w:spacing w:after="200" w:line="276" w:lineRule="auto"/>
    </w:pPr>
    <w:rPr>
      <w:rFonts w:ascii="Calibri" w:eastAsia="Calibri" w:hAnsi="Calibri" w:cs="Calibri"/>
      <w:sz w:val="20"/>
      <w:szCs w:val="20"/>
      <w:lang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11">
    <w:name w:val="companyTable11"/>
    <w:uiPriority w:val="99"/>
    <w:rsid w:val="00F90660"/>
    <w:pPr>
      <w:spacing w:after="200" w:line="276" w:lineRule="auto"/>
    </w:pPr>
    <w:rPr>
      <w:rFonts w:ascii="Calibri" w:eastAsia="Calibri" w:hAnsi="Calibri" w:cs="Calibri"/>
      <w:sz w:val="20"/>
      <w:szCs w:val="20"/>
      <w:lang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21">
    <w:name w:val="companyTable21"/>
    <w:uiPriority w:val="99"/>
    <w:rsid w:val="00F90660"/>
    <w:pPr>
      <w:spacing w:after="200" w:line="276" w:lineRule="auto"/>
    </w:pPr>
    <w:rPr>
      <w:rFonts w:ascii="Calibri" w:eastAsia="Calibri" w:hAnsi="Calibri" w:cs="Calibri"/>
      <w:sz w:val="20"/>
      <w:szCs w:val="20"/>
      <w:lang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companyTable31">
    <w:name w:val="companyTable31"/>
    <w:uiPriority w:val="99"/>
    <w:rsid w:val="00F90660"/>
    <w:pPr>
      <w:spacing w:after="200" w:line="276" w:lineRule="auto"/>
    </w:pPr>
    <w:rPr>
      <w:rFonts w:ascii="Calibri" w:eastAsia="Calibri" w:hAnsi="Calibri" w:cs="Calibri"/>
      <w:sz w:val="20"/>
      <w:szCs w:val="20"/>
      <w:lang w:eastAsia="lv-LV"/>
    </w:rPr>
    <w:tblP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50" w:type="dxa"/>
        <w:left w:w="50" w:type="dxa"/>
        <w:bottom w:w="50" w:type="dxa"/>
        <w:right w:w="50" w:type="dxa"/>
      </w:tblCellMar>
    </w:tblPr>
  </w:style>
  <w:style w:type="table" w:customStyle="1" w:styleId="Reatabula1">
    <w:name w:val="Režģa tabula1"/>
    <w:basedOn w:val="TableNormal"/>
    <w:next w:val="TableGrid"/>
    <w:uiPriority w:val="59"/>
    <w:rsid w:val="00F9066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imebullet1">
    <w:name w:val="Time bullet1"/>
    <w:basedOn w:val="NoList"/>
    <w:uiPriority w:val="99"/>
    <w:rsid w:val="00F90660"/>
    <w:pPr>
      <w:numPr>
        <w:numId w:val="5"/>
      </w:numPr>
    </w:pPr>
  </w:style>
  <w:style w:type="table" w:customStyle="1" w:styleId="PG1">
    <w:name w:val="P&amp;G1"/>
    <w:basedOn w:val="TableNormal"/>
    <w:uiPriority w:val="99"/>
    <w:rsid w:val="00F90660"/>
    <w:pPr>
      <w:spacing w:after="0" w:line="240" w:lineRule="auto"/>
    </w:pPr>
    <w:rPr>
      <w:rFonts w:ascii="Calibri" w:eastAsia="Times New Roman" w:hAnsi="Calibri" w:cs="Times New Roman"/>
      <w:sz w:val="20"/>
      <w:szCs w:val="20"/>
    </w:rPr>
    <w:tblPr/>
  </w:style>
  <w:style w:type="table" w:customStyle="1" w:styleId="ListTable7Colorful-Accent111">
    <w:name w:val="List Table 7 Colorful - Accent 111"/>
    <w:basedOn w:val="TableNormal"/>
    <w:uiPriority w:val="52"/>
    <w:rsid w:val="00F90660"/>
    <w:pPr>
      <w:spacing w:after="0" w:line="240" w:lineRule="auto"/>
    </w:pPr>
    <w:rPr>
      <w:rFonts w:ascii="Calibri" w:eastAsia="Times New Roman" w:hAnsi="Calibri" w:cs="Times New Roman"/>
      <w:color w:val="365F91"/>
      <w:sz w:val="20"/>
      <w:szCs w:val="20"/>
    </w:rPr>
    <w:tblPr>
      <w:tblStyleRowBandSize w:val="1"/>
      <w:tblStyleColBandSize w:val="1"/>
    </w:tblPr>
    <w:tblStylePr w:type="firstRow">
      <w:rPr>
        <w:rFonts w:ascii="Segoe UI" w:eastAsia="Times New Roman" w:hAnsi="Segoe UI" w:cs="Times New Roman"/>
        <w:i/>
        <w:iCs/>
        <w:sz w:val="26"/>
      </w:rPr>
      <w:tblPr/>
      <w:tcPr>
        <w:tcBorders>
          <w:bottom w:val="single" w:sz="4" w:space="0" w:color="4F81BD"/>
        </w:tcBorders>
        <w:shd w:val="clear" w:color="auto" w:fill="FFFFFF"/>
      </w:tcPr>
    </w:tblStylePr>
    <w:tblStylePr w:type="lastRow">
      <w:rPr>
        <w:rFonts w:ascii="Segoe UI" w:eastAsia="Times New Roman" w:hAnsi="Segoe UI" w:cs="Times New Roman"/>
        <w:i/>
        <w:iCs/>
        <w:sz w:val="26"/>
      </w:rPr>
      <w:tblPr/>
      <w:tcPr>
        <w:tcBorders>
          <w:top w:val="single" w:sz="4" w:space="0" w:color="4F81BD"/>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4F81BD"/>
        </w:tcBorders>
        <w:shd w:val="clear" w:color="auto" w:fill="FFFFFF"/>
      </w:tcPr>
    </w:tblStylePr>
    <w:tblStylePr w:type="lastCol">
      <w:rPr>
        <w:rFonts w:ascii="Segoe UI" w:eastAsia="Times New Roman" w:hAnsi="Segoe UI"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11">
    <w:name w:val="List Table 7 Colorful11"/>
    <w:basedOn w:val="TableNormal"/>
    <w:uiPriority w:val="52"/>
    <w:rsid w:val="00F90660"/>
    <w:pPr>
      <w:spacing w:after="0" w:line="240" w:lineRule="auto"/>
    </w:pPr>
    <w:rPr>
      <w:rFonts w:ascii="Calibri" w:eastAsia="Times New Roman" w:hAnsi="Calibri" w:cs="Times New Roman"/>
      <w:color w:val="000000"/>
      <w:sz w:val="20"/>
      <w:szCs w:val="20"/>
    </w:rPr>
    <w:tblPr>
      <w:tblStyleRowBandSize w:val="1"/>
      <w:tblStyleColBandSize w:val="1"/>
    </w:tblPr>
    <w:tblStylePr w:type="firstRow">
      <w:rPr>
        <w:rFonts w:ascii="Segoe UI" w:eastAsia="Times New Roman" w:hAnsi="Segoe UI" w:cs="Times New Roman"/>
        <w:i/>
        <w:iCs/>
        <w:sz w:val="26"/>
      </w:rPr>
      <w:tblPr/>
      <w:tcPr>
        <w:tcBorders>
          <w:bottom w:val="single" w:sz="4" w:space="0" w:color="000000"/>
        </w:tcBorders>
        <w:shd w:val="clear" w:color="auto" w:fill="FFFFFF"/>
      </w:tcPr>
    </w:tblStylePr>
    <w:tblStylePr w:type="lastRow">
      <w:rPr>
        <w:rFonts w:ascii="Segoe UI" w:eastAsia="Times New Roman" w:hAnsi="Segoe UI" w:cs="Times New Roman"/>
        <w:i/>
        <w:iCs/>
        <w:sz w:val="26"/>
      </w:rPr>
      <w:tblPr/>
      <w:tcPr>
        <w:tcBorders>
          <w:top w:val="single" w:sz="4" w:space="0" w:color="000000"/>
        </w:tcBorders>
        <w:shd w:val="clear" w:color="auto" w:fill="FFFFFF"/>
      </w:tcPr>
    </w:tblStylePr>
    <w:tblStylePr w:type="firstCol">
      <w:pPr>
        <w:jc w:val="right"/>
      </w:pPr>
      <w:rPr>
        <w:rFonts w:ascii="Segoe UI" w:eastAsia="Times New Roman" w:hAnsi="Segoe UI" w:cs="Times New Roman"/>
        <w:i/>
        <w:iCs/>
        <w:sz w:val="26"/>
      </w:rPr>
      <w:tblPr/>
      <w:tcPr>
        <w:tcBorders>
          <w:right w:val="single" w:sz="4" w:space="0" w:color="000000"/>
        </w:tcBorders>
        <w:shd w:val="clear" w:color="auto" w:fill="FFFFFF"/>
      </w:tcPr>
    </w:tblStylePr>
    <w:tblStylePr w:type="lastCol">
      <w:rPr>
        <w:rFonts w:ascii="Segoe UI" w:eastAsia="Times New Roman" w:hAnsi="Segoe UI"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11">
    <w:name w:val="Grid Table 5 Dark11"/>
    <w:basedOn w:val="TableNormal"/>
    <w:uiPriority w:val="50"/>
    <w:rsid w:val="00F90660"/>
    <w:pPr>
      <w:spacing w:after="0" w:line="240" w:lineRule="auto"/>
    </w:pPr>
    <w:rPr>
      <w:rFonts w:ascii="Avenir LT Std 45 Book" w:eastAsia="Times New Roman" w:hAnsi="Avenir LT Std 45 Book" w:cs="Times New Roman"/>
      <w:color w:val="000000"/>
      <w:sz w:val="20"/>
      <w:szCs w:val="20"/>
    </w:rPr>
    <w:tblPr>
      <w:tblStyleRowBandSize w:val="1"/>
      <w:tblStyleColBandSize w:val="1"/>
      <w:tblCellMar>
        <w:top w:w="144" w:type="dxa"/>
        <w:left w:w="144" w:type="dxa"/>
        <w:bottom w:w="144" w:type="dxa"/>
        <w:right w:w="144" w:type="dxa"/>
      </w:tblCellMar>
    </w:tblPr>
    <w:tcPr>
      <w:shd w:val="clear" w:color="auto" w:fill="FFFFFF"/>
    </w:tcPr>
    <w:tblStylePr w:type="firstRow">
      <w:pPr>
        <w:jc w:val="left"/>
      </w:pPr>
      <w:rPr>
        <w:rFonts w:ascii="Avenir" w:hAnsi="Avenir"/>
        <w:b w:val="0"/>
        <w:bCs/>
        <w:strike w:val="0"/>
        <w:dstrike w:val="0"/>
        <w:vanish w:val="0"/>
        <w:color w:val="FFFFFF"/>
        <w:sz w:val="28"/>
        <w:vertAlign w:val="baseline"/>
      </w:rPr>
      <w:tblPr/>
      <w:tcPr>
        <w:tcBorders>
          <w:top w:val="nil"/>
          <w:left w:val="nil"/>
          <w:bottom w:val="nil"/>
          <w:right w:val="nil"/>
          <w:insideH w:val="nil"/>
          <w:insideV w:val="nil"/>
          <w:tl2br w:val="nil"/>
          <w:tr2bl w:val="nil"/>
        </w:tcBorders>
        <w:shd w:val="clear" w:color="auto" w:fill="4F81BD"/>
        <w:vAlign w:val="center"/>
      </w:tcPr>
    </w:tblStylePr>
    <w:tblStylePr w:type="lastRow">
      <w:rPr>
        <w:b/>
        <w:bCs/>
        <w:color w:val="FFFFFF"/>
      </w:rPr>
      <w:tblPr/>
      <w:tcPr>
        <w:shd w:val="clear" w:color="auto" w:fill="9BBB59"/>
      </w:tcPr>
    </w:tblStylePr>
    <w:tblStylePr w:type="firstCol">
      <w:pPr>
        <w:jc w:val="left"/>
      </w:pPr>
      <w:rPr>
        <w:rFonts w:ascii="Century Gothic" w:hAnsi="Century Gothic"/>
        <w:b w:val="0"/>
        <w:bCs/>
        <w:i w:val="0"/>
        <w:caps w:val="0"/>
        <w:smallCaps w:val="0"/>
        <w:strike w:val="0"/>
        <w:dstrike w:val="0"/>
        <w:vanish w:val="0"/>
        <w:color w:val="000000"/>
        <w:sz w:val="22"/>
        <w:u w:val="none"/>
        <w:vertAlign w:val="baseline"/>
      </w:rPr>
      <w:tblPr/>
      <w:tcPr>
        <w:shd w:val="clear" w:color="auto" w:fill="F2F2F2"/>
      </w:tcPr>
    </w:tblStylePr>
    <w:tblStylePr w:type="lastCol">
      <w:rPr>
        <w:rFonts w:ascii="Avenir" w:hAnsi="Avenir"/>
        <w:b/>
        <w:bCs/>
        <w:color w:val="FFFFFF"/>
        <w:sz w:val="22"/>
      </w:rPr>
      <w:tblPr/>
      <w:tcPr>
        <w:shd w:val="clear" w:color="auto" w:fill="9BBB59"/>
      </w:tcPr>
    </w:tblStylePr>
    <w:tblStylePr w:type="band1Vert">
      <w:tblPr/>
      <w:tcPr>
        <w:shd w:val="clear" w:color="auto" w:fill="FFFFFF"/>
      </w:tcPr>
    </w:tblStylePr>
    <w:tblStylePr w:type="band2Vert">
      <w:tblPr/>
      <w:tcPr>
        <w:shd w:val="clear" w:color="auto" w:fill="FFFFFF"/>
      </w:tcPr>
    </w:tblStylePr>
    <w:tblStylePr w:type="band1Horz">
      <w:tblPr/>
      <w:tcPr>
        <w:shd w:val="clear" w:color="auto" w:fill="FFFFFF"/>
      </w:tcPr>
    </w:tblStylePr>
    <w:tblStylePr w:type="band2Horz">
      <w:tblPr/>
      <w:tcPr>
        <w:shd w:val="clear" w:color="auto" w:fill="F2F2F2"/>
      </w:tcPr>
    </w:tblStylePr>
  </w:style>
  <w:style w:type="table" w:customStyle="1" w:styleId="PGTable1">
    <w:name w:val="P&amp;G Table1"/>
    <w:basedOn w:val="TableNormal"/>
    <w:uiPriority w:val="99"/>
    <w:rsid w:val="00F90660"/>
    <w:pPr>
      <w:spacing w:after="0" w:line="240" w:lineRule="auto"/>
    </w:pPr>
    <w:rPr>
      <w:rFonts w:ascii="Calibri" w:eastAsia="Times New Roman" w:hAnsi="Calibri" w:cs="Times New Roman"/>
      <w:sz w:val="20"/>
      <w:szCs w:val="20"/>
    </w:rPr>
    <w:tblPr/>
  </w:style>
  <w:style w:type="table" w:customStyle="1" w:styleId="PGtimetable1">
    <w:name w:val="P&amp;G time table1"/>
    <w:basedOn w:val="TableNormal"/>
    <w:uiPriority w:val="49"/>
    <w:rsid w:val="00F90660"/>
    <w:pPr>
      <w:spacing w:after="0" w:line="240" w:lineRule="auto"/>
    </w:pPr>
    <w:rPr>
      <w:rFonts w:ascii="Avenir LT Std 45 Book" w:eastAsia="Times New Roman" w:hAnsi="Avenir LT Std 45 Book" w:cs="Times New Roman"/>
      <w:color w:val="000000"/>
      <w:sz w:val="20"/>
      <w:szCs w:val="20"/>
    </w:rPr>
    <w:tblPr>
      <w:tblStyleRowBandSize w:val="1"/>
      <w:tblStyleColBandSize w:val="1"/>
      <w:tblCellMar>
        <w:left w:w="0" w:type="dxa"/>
        <w:bottom w:w="288" w:type="dxa"/>
        <w:right w:w="0" w:type="dxa"/>
      </w:tblCellMar>
    </w:tblPr>
    <w:tblStylePr w:type="firstRow">
      <w:rPr>
        <w:rFonts w:ascii="Century Gothic" w:hAnsi="Century Gothic"/>
        <w:b w:val="0"/>
        <w:bCs/>
        <w:color w:val="FFFFFF"/>
        <w:sz w:val="22"/>
      </w:rPr>
    </w:tblStylePr>
    <w:tblStylePr w:type="lastRow">
      <w:rPr>
        <w:b/>
        <w:bCs/>
        <w:sz w:val="22"/>
      </w:rPr>
    </w:tblStylePr>
    <w:tblStylePr w:type="firstCol">
      <w:rPr>
        <w:rFonts w:ascii="Avenir" w:hAnsi="Avenir"/>
        <w:b w:val="0"/>
        <w:bCs/>
        <w:sz w:val="22"/>
      </w:rPr>
    </w:tblStylePr>
    <w:tblStylePr w:type="lastCol">
      <w:rPr>
        <w:b/>
        <w:bCs/>
      </w:rPr>
    </w:tblStylePr>
  </w:style>
  <w:style w:type="table" w:customStyle="1" w:styleId="Timetable1">
    <w:name w:val="Time table1"/>
    <w:basedOn w:val="TableNormal"/>
    <w:uiPriority w:val="99"/>
    <w:rsid w:val="00F90660"/>
    <w:pPr>
      <w:spacing w:after="0" w:line="240" w:lineRule="auto"/>
    </w:pPr>
    <w:rPr>
      <w:rFonts w:ascii="Calibri" w:eastAsia="Times New Roman" w:hAnsi="Calibri" w:cs="Times New Roman"/>
      <w:sz w:val="20"/>
      <w:szCs w:val="20"/>
    </w:rPr>
    <w:tblPr/>
  </w:style>
  <w:style w:type="table" w:customStyle="1" w:styleId="GridTable5Dark-Accent511">
    <w:name w:val="Grid Table 5 Dark - Accent 511"/>
    <w:basedOn w:val="TableNormal"/>
    <w:uiPriority w:val="50"/>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613">
    <w:name w:val="Grid Table 4 - Accent 613"/>
    <w:basedOn w:val="TableNormal"/>
    <w:uiPriority w:val="49"/>
    <w:rsid w:val="00F90660"/>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21">
    <w:name w:val="Grid Table 4 - Accent 6121"/>
    <w:basedOn w:val="TableNormal"/>
    <w:next w:val="GridTable4-Accent61"/>
    <w:uiPriority w:val="49"/>
    <w:rsid w:val="00F90660"/>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6111">
    <w:name w:val="Grid Table 4 - Accent 6111"/>
    <w:basedOn w:val="TableNormal"/>
    <w:next w:val="GridTable4-Accent61"/>
    <w:uiPriority w:val="49"/>
    <w:rsid w:val="00F90660"/>
    <w:pPr>
      <w:spacing w:after="0" w:line="240" w:lineRule="auto"/>
    </w:pPr>
    <w:rPr>
      <w:rFonts w:ascii="Calibri" w:eastAsia="Times New Roman" w:hAnsi="Calibri" w:cs="Times New Roman"/>
      <w:color w:val="000000"/>
      <w:sz w:val="20"/>
      <w:szCs w:val="20"/>
    </w:rPr>
    <w:tblPr>
      <w:tblStyleRowBandSize w:val="1"/>
      <w:tblStyleColBandSize w:val="1"/>
    </w:tblPr>
    <w:tcPr>
      <w:shd w:val="clear" w:color="auto" w:fill="auto"/>
    </w:tcPr>
    <w:tblStylePr w:type="firstRow">
      <w:rPr>
        <w:rFonts w:ascii="Century Gothic" w:hAnsi="Century Gothic"/>
        <w:b w:val="0"/>
        <w:bCs/>
        <w:color w:val="FFFFFF"/>
      </w:rPr>
    </w:tblStylePr>
    <w:tblStylePr w:type="lastRow">
      <w:rPr>
        <w:b/>
        <w:bCs/>
      </w:rPr>
      <w:tblPr/>
      <w:tcPr>
        <w:tcBorders>
          <w:top w:val="double" w:sz="4" w:space="0" w:color="F79646"/>
        </w:tcBorders>
      </w:tcPr>
    </w:tblStylePr>
    <w:tblStylePr w:type="firstCol">
      <w:rPr>
        <w:rFonts w:ascii="Avenir" w:hAnsi="Avenir"/>
        <w:b w:val="0"/>
        <w:bCs/>
        <w:sz w:val="22"/>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auto"/>
      </w:tcPr>
    </w:tblStylePr>
  </w:style>
  <w:style w:type="table" w:customStyle="1" w:styleId="GridTable4-Accent111">
    <w:name w:val="Grid Table 4 - Accent 111"/>
    <w:basedOn w:val="TableNormal"/>
    <w:uiPriority w:val="49"/>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411">
    <w:name w:val="Grid Table 4 - Accent 411"/>
    <w:basedOn w:val="TableNormal"/>
    <w:uiPriority w:val="49"/>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7Colorful11">
    <w:name w:val="Grid Table 7 Colorful11"/>
    <w:basedOn w:val="TableNormal"/>
    <w:uiPriority w:val="52"/>
    <w:rsid w:val="00F90660"/>
    <w:pPr>
      <w:spacing w:after="0" w:line="240" w:lineRule="auto"/>
    </w:pPr>
    <w:rPr>
      <w:rFonts w:ascii="Calibri" w:eastAsia="Times New Roman" w:hAnsi="Calibri" w:cs="Times New Roman"/>
      <w:color w:val="000000"/>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1">
    <w:name w:val="listTable1"/>
    <w:uiPriority w:val="99"/>
    <w:rsid w:val="00F90660"/>
    <w:pPr>
      <w:spacing w:after="200" w:line="276" w:lineRule="auto"/>
    </w:pPr>
    <w:rPr>
      <w:rFonts w:ascii="Calibri" w:eastAsia="Calibri" w:hAnsi="Calibri" w:cs="Calibri"/>
      <w:sz w:val="20"/>
      <w:szCs w:val="20"/>
      <w:lang w:eastAsia="lv-LV"/>
    </w:rPr>
    <w:tblP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CellMar>
        <w:top w:w="50" w:type="dxa"/>
        <w:left w:w="50" w:type="dxa"/>
        <w:bottom w:w="50" w:type="dxa"/>
        <w:right w:w="50" w:type="dxa"/>
      </w:tblCellMar>
    </w:tblPr>
  </w:style>
  <w:style w:type="table" w:customStyle="1" w:styleId="test1">
    <w:name w:val="test1"/>
    <w:basedOn w:val="TableNormal"/>
    <w:uiPriority w:val="99"/>
    <w:rsid w:val="00F90660"/>
    <w:pPr>
      <w:spacing w:after="0" w:line="240" w:lineRule="auto"/>
    </w:pPr>
    <w:rPr>
      <w:rFonts w:ascii="Calibri" w:eastAsia="Times New Roman" w:hAnsi="Calibri" w:cs="Times New Roman"/>
      <w:sz w:val="20"/>
      <w:szCs w:val="20"/>
    </w:rPr>
    <w:tblPr/>
  </w:style>
  <w:style w:type="table" w:customStyle="1" w:styleId="Gaisnojumsizclums11">
    <w:name w:val="Gaišs ēnojums — izcēlums 11"/>
    <w:basedOn w:val="TableNormal"/>
    <w:next w:val="LightShading-Accent11"/>
    <w:uiPriority w:val="60"/>
    <w:semiHidden/>
    <w:unhideWhenUsed/>
    <w:rsid w:val="00F90660"/>
    <w:pPr>
      <w:spacing w:after="0" w:line="240" w:lineRule="auto"/>
    </w:pPr>
    <w:rPr>
      <w:rFonts w:ascii="Calibri" w:eastAsia="Times New Roman" w:hAnsi="Calibri"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aisnojumsizclums41">
    <w:name w:val="Gaišs ēnojums — izcēlums 41"/>
    <w:basedOn w:val="TableNormal"/>
    <w:next w:val="LightShading-Accent4"/>
    <w:uiPriority w:val="60"/>
    <w:semiHidden/>
    <w:unhideWhenUsed/>
    <w:rsid w:val="00F90660"/>
    <w:pPr>
      <w:spacing w:after="0" w:line="240" w:lineRule="auto"/>
    </w:pPr>
    <w:rPr>
      <w:rFonts w:ascii="Calibri" w:eastAsia="Times New Roman"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stTable2-Accent311">
    <w:name w:val="List Table 2 - Accent 311"/>
    <w:basedOn w:val="TableNormal"/>
    <w:uiPriority w:val="47"/>
    <w:rsid w:val="00F90660"/>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3-Accent111">
    <w:name w:val="List Table 3 - Accent 111"/>
    <w:basedOn w:val="TableNormal"/>
    <w:uiPriority w:val="48"/>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GridTable1Light-Accent311">
    <w:name w:val="Grid Table 1 Light - Accent 311"/>
    <w:basedOn w:val="TableNormal"/>
    <w:uiPriority w:val="46"/>
    <w:rsid w:val="00F90660"/>
    <w:pPr>
      <w:spacing w:after="0" w:line="240" w:lineRule="auto"/>
    </w:pPr>
    <w:rPr>
      <w:rFonts w:ascii="Calibri" w:eastAsia="Times New Roman" w:hAnsi="Calibri" w:cs="Times New Roman"/>
      <w:sz w:val="20"/>
      <w:szCs w:val="20"/>
      <w:lang w:val="en-US" w:bidi="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Gaissarakstsizclums31">
    <w:name w:val="Gaišs saraksts — izcēlums 31"/>
    <w:basedOn w:val="TableNormal"/>
    <w:next w:val="LightList-Accent3"/>
    <w:uiPriority w:val="61"/>
    <w:rsid w:val="00F90660"/>
    <w:pPr>
      <w:spacing w:after="0" w:line="240" w:lineRule="auto"/>
    </w:pPr>
    <w:rPr>
      <w:rFonts w:ascii="Calibri" w:eastAsia="Times New Roman" w:hAnsi="Calibri" w:cs="Times New Roman"/>
      <w:sz w:val="20"/>
      <w:szCs w:val="20"/>
      <w:lang w:val="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arakstatabula3-izclums31">
    <w:name w:val="Saraksta tabula 3 - izcēlums 31"/>
    <w:basedOn w:val="TableNormal"/>
    <w:uiPriority w:val="48"/>
    <w:rsid w:val="00F90660"/>
    <w:pPr>
      <w:spacing w:after="0" w:line="240" w:lineRule="auto"/>
    </w:pPr>
    <w:rPr>
      <w:rFonts w:ascii="Calibri" w:eastAsia="Times New Roman" w:hAnsi="Calibri" w:cs="Times New Roman"/>
      <w:sz w:val="20"/>
      <w:szCs w:val="20"/>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Reatabula3-izclums31">
    <w:name w:val="Režģa tabula 3 - izcēlums 31"/>
    <w:basedOn w:val="TableNormal"/>
    <w:uiPriority w:val="48"/>
    <w:rsid w:val="00F90660"/>
    <w:pPr>
      <w:spacing w:after="0" w:line="240" w:lineRule="auto"/>
    </w:pPr>
    <w:rPr>
      <w:rFonts w:ascii="Calibri" w:eastAsia="Calibri" w:hAnsi="Calibri" w:cs="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Vienkratabula11">
    <w:name w:val="Vienkārša tabula_11"/>
    <w:basedOn w:val="TableNormal"/>
    <w:uiPriority w:val="41"/>
    <w:rsid w:val="00F90660"/>
    <w:pPr>
      <w:spacing w:after="0" w:line="240" w:lineRule="auto"/>
    </w:pPr>
    <w:rPr>
      <w:rFonts w:ascii="Calibri" w:eastAsia="Calibri" w:hAnsi="Calibri" w:cs="Times New Roman"/>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
    <w:name w:val="Table Grid31"/>
    <w:basedOn w:val="TableNormal"/>
    <w:next w:val="TableGrid"/>
    <w:uiPriority w:val="59"/>
    <w:rsid w:val="00F90660"/>
    <w:pPr>
      <w:spacing w:after="0" w:line="240" w:lineRule="auto"/>
    </w:pPr>
    <w:rPr>
      <w:rFonts w:ascii="Calibri" w:eastAsia="Times New Roman"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gaia-izclums61">
    <w:name w:val="Režģa tabula 1 gaiša - izcēlums 61"/>
    <w:basedOn w:val="TableNormal"/>
    <w:uiPriority w:val="46"/>
    <w:rsid w:val="00F90660"/>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UnresolvedMention111">
    <w:name w:val="Unresolved Mention111"/>
    <w:basedOn w:val="DefaultParagraphFont"/>
    <w:uiPriority w:val="99"/>
    <w:semiHidden/>
    <w:unhideWhenUsed/>
    <w:rsid w:val="00F90660"/>
    <w:rPr>
      <w:color w:val="605E5C"/>
      <w:shd w:val="clear" w:color="auto" w:fill="E1DFDD"/>
    </w:rPr>
  </w:style>
  <w:style w:type="paragraph" w:customStyle="1" w:styleId="m-5739484091540848719msolistparagraph">
    <w:name w:val="m_-5739484091540848719msolistparagraph"/>
    <w:basedOn w:val="Normal"/>
    <w:rsid w:val="00F9066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2">
    <w:name w:val="Unresolved Mention12"/>
    <w:basedOn w:val="DefaultParagraphFont"/>
    <w:uiPriority w:val="99"/>
    <w:semiHidden/>
    <w:unhideWhenUsed/>
    <w:rsid w:val="00F90660"/>
    <w:rPr>
      <w:color w:val="605E5C"/>
      <w:shd w:val="clear" w:color="auto" w:fill="E1DFDD"/>
    </w:rPr>
  </w:style>
  <w:style w:type="character" w:customStyle="1" w:styleId="Heading5Char1">
    <w:name w:val="Heading 5 Char1"/>
    <w:basedOn w:val="DefaultParagraphFont"/>
    <w:semiHidden/>
    <w:rsid w:val="00F90660"/>
    <w:rPr>
      <w:rFonts w:ascii="Cambria" w:eastAsia="MS Gothic" w:hAnsi="Cambria" w:cs="Times New Roman"/>
      <w:color w:val="365F91"/>
      <w:sz w:val="24"/>
      <w:szCs w:val="24"/>
    </w:rPr>
  </w:style>
  <w:style w:type="character" w:customStyle="1" w:styleId="Heading6Char1">
    <w:name w:val="Heading 6 Char1"/>
    <w:basedOn w:val="DefaultParagraphFont"/>
    <w:semiHidden/>
    <w:rsid w:val="00F90660"/>
    <w:rPr>
      <w:rFonts w:ascii="Cambria" w:eastAsia="MS Gothic" w:hAnsi="Cambria" w:cs="Times New Roman"/>
      <w:color w:val="243F60"/>
      <w:sz w:val="24"/>
      <w:szCs w:val="24"/>
    </w:rPr>
  </w:style>
  <w:style w:type="character" w:customStyle="1" w:styleId="Heading7Char1">
    <w:name w:val="Heading 7 Char1"/>
    <w:basedOn w:val="DefaultParagraphFont"/>
    <w:semiHidden/>
    <w:rsid w:val="00F90660"/>
    <w:rPr>
      <w:rFonts w:ascii="Cambria" w:eastAsia="MS Gothic" w:hAnsi="Cambria" w:cs="Times New Roman"/>
      <w:i/>
      <w:iCs/>
      <w:color w:val="243F60"/>
      <w:sz w:val="24"/>
      <w:szCs w:val="24"/>
    </w:rPr>
  </w:style>
  <w:style w:type="character" w:customStyle="1" w:styleId="Heading8Char1">
    <w:name w:val="Heading 8 Char1"/>
    <w:basedOn w:val="DefaultParagraphFont"/>
    <w:semiHidden/>
    <w:rsid w:val="00F90660"/>
    <w:rPr>
      <w:rFonts w:ascii="Cambria" w:eastAsia="MS Gothic" w:hAnsi="Cambria" w:cs="Times New Roman"/>
      <w:color w:val="272727"/>
      <w:sz w:val="21"/>
      <w:szCs w:val="21"/>
    </w:rPr>
  </w:style>
  <w:style w:type="character" w:customStyle="1" w:styleId="Heading9Char1">
    <w:name w:val="Heading 9 Char1"/>
    <w:basedOn w:val="DefaultParagraphFont"/>
    <w:semiHidden/>
    <w:rsid w:val="00F90660"/>
    <w:rPr>
      <w:rFonts w:ascii="Cambria" w:eastAsia="MS Gothic" w:hAnsi="Cambria" w:cs="Times New Roman"/>
      <w:i/>
      <w:iCs/>
      <w:color w:val="272727"/>
      <w:sz w:val="21"/>
      <w:szCs w:val="21"/>
    </w:rPr>
  </w:style>
  <w:style w:type="paragraph" w:styleId="NoSpacing">
    <w:name w:val="No Spacing"/>
    <w:uiPriority w:val="1"/>
    <w:qFormat/>
    <w:rsid w:val="00F90660"/>
    <w:pPr>
      <w:spacing w:after="0" w:line="240" w:lineRule="auto"/>
    </w:pPr>
    <w:rPr>
      <w:rFonts w:ascii="Times New Roman" w:eastAsia="Times New Roman" w:hAnsi="Times New Roman" w:cs="Times New Roman"/>
      <w:sz w:val="24"/>
      <w:szCs w:val="24"/>
      <w:lang w:eastAsia="lv-LV"/>
    </w:rPr>
  </w:style>
  <w:style w:type="character" w:customStyle="1" w:styleId="FootnoteTextChar1">
    <w:name w:val="Footnote Text Char1"/>
    <w:basedOn w:val="DefaultParagraphFont"/>
    <w:semiHidden/>
    <w:rsid w:val="00F90660"/>
  </w:style>
  <w:style w:type="paragraph" w:customStyle="1" w:styleId="IntenseQuote2">
    <w:name w:val="Intense Quote2"/>
    <w:basedOn w:val="Normal"/>
    <w:next w:val="Normal"/>
    <w:uiPriority w:val="30"/>
    <w:qFormat/>
    <w:rsid w:val="00F90660"/>
    <w:pPr>
      <w:pBdr>
        <w:top w:val="single" w:sz="4" w:space="10" w:color="4F81BD"/>
        <w:bottom w:val="single" w:sz="4" w:space="10" w:color="4F81BD"/>
      </w:pBdr>
      <w:spacing w:before="360" w:after="360" w:line="240" w:lineRule="auto"/>
      <w:ind w:left="864" w:right="864"/>
      <w:jc w:val="center"/>
    </w:pPr>
    <w:rPr>
      <w:rFonts w:ascii="Calibri Light" w:eastAsia="Times New Roman" w:hAnsi="Calibri Light" w:cs="Times New Roman"/>
      <w:color w:val="4472C4"/>
      <w:sz w:val="28"/>
      <w:szCs w:val="28"/>
      <w:lang w:eastAsia="lv-LV"/>
    </w:rPr>
  </w:style>
  <w:style w:type="character" w:customStyle="1" w:styleId="IntenseQuoteChar1">
    <w:name w:val="Intense Quote Char1"/>
    <w:basedOn w:val="DefaultParagraphFont"/>
    <w:uiPriority w:val="30"/>
    <w:rsid w:val="00F90660"/>
    <w:rPr>
      <w:i/>
      <w:iCs/>
      <w:color w:val="4F81BD"/>
      <w:sz w:val="24"/>
      <w:szCs w:val="24"/>
    </w:rPr>
  </w:style>
  <w:style w:type="paragraph" w:styleId="Subtitle">
    <w:name w:val="Subtitle"/>
    <w:basedOn w:val="Normal"/>
    <w:next w:val="Normal"/>
    <w:link w:val="SubtitleChar"/>
    <w:uiPriority w:val="11"/>
    <w:qFormat/>
    <w:rsid w:val="00F90660"/>
    <w:pPr>
      <w:numPr>
        <w:ilvl w:val="1"/>
      </w:numPr>
      <w:spacing w:line="240" w:lineRule="auto"/>
    </w:pPr>
    <w:rPr>
      <w:rFonts w:ascii="Calibri Light" w:eastAsia="Times New Roman" w:hAnsi="Calibri Light" w:cs="Times New Roman"/>
      <w:sz w:val="24"/>
      <w:szCs w:val="24"/>
    </w:rPr>
  </w:style>
  <w:style w:type="character" w:customStyle="1" w:styleId="SubtitleChar1">
    <w:name w:val="Subtitle Char1"/>
    <w:basedOn w:val="DefaultParagraphFont"/>
    <w:rsid w:val="00F90660"/>
    <w:rPr>
      <w:rFonts w:eastAsiaTheme="minorEastAsia"/>
      <w:color w:val="5A5A5A" w:themeColor="text1" w:themeTint="A5"/>
      <w:spacing w:val="15"/>
    </w:rPr>
  </w:style>
  <w:style w:type="character" w:customStyle="1" w:styleId="SubtleEmphasis2">
    <w:name w:val="Subtle Emphasis2"/>
    <w:basedOn w:val="DefaultParagraphFont"/>
    <w:uiPriority w:val="19"/>
    <w:qFormat/>
    <w:rsid w:val="00F90660"/>
    <w:rPr>
      <w:i/>
      <w:iCs/>
      <w:color w:val="404040"/>
    </w:rPr>
  </w:style>
  <w:style w:type="table" w:customStyle="1" w:styleId="LightShading-Accent42">
    <w:name w:val="Light Shading - Accent 42"/>
    <w:basedOn w:val="TableNormal"/>
    <w:next w:val="LightShading-Accent4"/>
    <w:uiPriority w:val="60"/>
    <w:semiHidden/>
    <w:unhideWhenUsed/>
    <w:rsid w:val="00F90660"/>
    <w:pPr>
      <w:spacing w:after="0" w:line="240" w:lineRule="auto"/>
    </w:pPr>
    <w:rPr>
      <w:rFonts w:ascii="Times New Roman" w:eastAsia="Times New Roman" w:hAnsi="Times New Roman" w:cs="Times New Roman"/>
      <w:color w:val="5F497A"/>
      <w:sz w:val="20"/>
      <w:szCs w:val="20"/>
      <w:lang w:eastAsia="lv-LV"/>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Quote">
    <w:name w:val="Quote"/>
    <w:basedOn w:val="Normal"/>
    <w:next w:val="Normal"/>
    <w:link w:val="QuoteChar"/>
    <w:uiPriority w:val="29"/>
    <w:qFormat/>
    <w:rsid w:val="00F90660"/>
    <w:pPr>
      <w:spacing w:before="200" w:line="240" w:lineRule="auto"/>
      <w:ind w:left="864" w:right="864"/>
      <w:jc w:val="center"/>
    </w:pPr>
    <w:rPr>
      <w:rFonts w:ascii="Tahoma" w:eastAsia="Times New Roman" w:hAnsi="Tahoma"/>
      <w:i/>
      <w:iCs/>
      <w:color w:val="404040"/>
      <w:sz w:val="20"/>
      <w:szCs w:val="20"/>
    </w:rPr>
  </w:style>
  <w:style w:type="character" w:customStyle="1" w:styleId="QuoteChar1">
    <w:name w:val="Quote Char1"/>
    <w:basedOn w:val="DefaultParagraphFont"/>
    <w:uiPriority w:val="29"/>
    <w:rsid w:val="00F90660"/>
    <w:rPr>
      <w:i/>
      <w:iCs/>
      <w:color w:val="404040" w:themeColor="text1" w:themeTint="BF"/>
    </w:rPr>
  </w:style>
  <w:style w:type="table" w:customStyle="1" w:styleId="LightList-Accent32">
    <w:name w:val="Light List - Accent 32"/>
    <w:basedOn w:val="TableNormal"/>
    <w:next w:val="LightList-Accent3"/>
    <w:uiPriority w:val="61"/>
    <w:semiHidden/>
    <w:unhideWhenUsed/>
    <w:rsid w:val="00F90660"/>
    <w:pPr>
      <w:spacing w:after="0" w:line="240" w:lineRule="auto"/>
    </w:pPr>
    <w:rPr>
      <w:rFonts w:ascii="Times New Roman" w:eastAsia="Times New Roman" w:hAnsi="Times New Roman" w:cs="Times New Roman"/>
      <w:sz w:val="20"/>
      <w:szCs w:val="20"/>
      <w:lang w:eastAsia="lv-LV"/>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Title">
    <w:name w:val="Title"/>
    <w:basedOn w:val="Normal"/>
    <w:next w:val="Normal"/>
    <w:link w:val="TitleChar"/>
    <w:uiPriority w:val="10"/>
    <w:qFormat/>
    <w:rsid w:val="00F90660"/>
    <w:pPr>
      <w:spacing w:after="0" w:line="240" w:lineRule="auto"/>
      <w:contextualSpacing/>
    </w:pPr>
    <w:rPr>
      <w:rFonts w:ascii="Calibri Light" w:eastAsia="Times New Roman" w:hAnsi="Calibri Light" w:cs="Times New Roman"/>
      <w:color w:val="4472C4"/>
      <w:spacing w:val="-10"/>
      <w:sz w:val="56"/>
      <w:szCs w:val="56"/>
    </w:rPr>
  </w:style>
  <w:style w:type="character" w:customStyle="1" w:styleId="TitleChar1">
    <w:name w:val="Title Char1"/>
    <w:basedOn w:val="DefaultParagraphFont"/>
    <w:rsid w:val="00F90660"/>
    <w:rPr>
      <w:rFonts w:asciiTheme="majorHAnsi" w:eastAsiaTheme="majorEastAsia" w:hAnsiTheme="majorHAnsi" w:cstheme="majorBidi"/>
      <w:spacing w:val="-10"/>
      <w:kern w:val="28"/>
      <w:sz w:val="56"/>
      <w:szCs w:val="56"/>
    </w:rPr>
  </w:style>
  <w:style w:type="character" w:customStyle="1" w:styleId="SubtleReference2">
    <w:name w:val="Subtle Reference2"/>
    <w:basedOn w:val="DefaultParagraphFont"/>
    <w:uiPriority w:val="31"/>
    <w:qFormat/>
    <w:rsid w:val="00F90660"/>
    <w:rPr>
      <w:smallCaps/>
      <w:color w:val="5A5A5A"/>
    </w:rPr>
  </w:style>
  <w:style w:type="table" w:customStyle="1" w:styleId="TableGrid4">
    <w:name w:val="Table Grid4"/>
    <w:basedOn w:val="TableNormal"/>
    <w:next w:val="TableGrid"/>
    <w:uiPriority w:val="39"/>
    <w:rsid w:val="00F90660"/>
    <w:pPr>
      <w:spacing w:after="0" w:line="240" w:lineRule="auto"/>
    </w:pPr>
    <w:rPr>
      <w:rFonts w:ascii="Avenir LT Std 45 Book" w:eastAsia="SimSun" w:hAnsi="Avenir LT Std 45 Boo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9066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F90660"/>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olor w:val="4472C4"/>
      <w:sz w:val="28"/>
      <w:szCs w:val="28"/>
    </w:rPr>
  </w:style>
  <w:style w:type="character" w:customStyle="1" w:styleId="IntenseQuoteChar2">
    <w:name w:val="Intense Quote Char2"/>
    <w:basedOn w:val="DefaultParagraphFont"/>
    <w:uiPriority w:val="30"/>
    <w:rsid w:val="00F90660"/>
    <w:rPr>
      <w:i/>
      <w:iCs/>
      <w:color w:val="4472C4" w:themeColor="accent1"/>
    </w:rPr>
  </w:style>
  <w:style w:type="table" w:styleId="LightShading-Accent4">
    <w:name w:val="Light Shading Accent 4"/>
    <w:basedOn w:val="TableNormal"/>
    <w:uiPriority w:val="60"/>
    <w:semiHidden/>
    <w:unhideWhenUsed/>
    <w:rsid w:val="00F90660"/>
    <w:pPr>
      <w:spacing w:after="0" w:line="240" w:lineRule="auto"/>
    </w:pPr>
    <w:rPr>
      <w:color w:val="BF8F00" w:themeColor="accent4" w:themeShade="BF"/>
      <w:lang w:val="en-US"/>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List-Accent3">
    <w:name w:val="Light List Accent 3"/>
    <w:basedOn w:val="TableNormal"/>
    <w:uiPriority w:val="61"/>
    <w:semiHidden/>
    <w:unhideWhenUsed/>
    <w:rsid w:val="00F90660"/>
    <w:pPr>
      <w:spacing w:after="0" w:line="240" w:lineRule="auto"/>
    </w:pPr>
    <w:rPr>
      <w:lang w:val="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SubtleEmphasis">
    <w:name w:val="Subtle Emphasis"/>
    <w:basedOn w:val="DefaultParagraphFont"/>
    <w:uiPriority w:val="19"/>
    <w:qFormat/>
    <w:rsid w:val="00F90660"/>
    <w:rPr>
      <w:i/>
      <w:iCs/>
      <w:color w:val="404040" w:themeColor="text1" w:themeTint="BF"/>
    </w:rPr>
  </w:style>
  <w:style w:type="character" w:styleId="SubtleReference">
    <w:name w:val="Subtle Reference"/>
    <w:basedOn w:val="DefaultParagraphFont"/>
    <w:uiPriority w:val="31"/>
    <w:qFormat/>
    <w:rsid w:val="00F90660"/>
    <w:rPr>
      <w:smallCaps/>
      <w:color w:val="5A5A5A" w:themeColor="text1" w:themeTint="A5"/>
    </w:rPr>
  </w:style>
  <w:style w:type="table" w:styleId="GridTable1Light">
    <w:name w:val="Grid Table 1 Light"/>
    <w:basedOn w:val="TableNormal"/>
    <w:uiPriority w:val="46"/>
    <w:rsid w:val="00F90660"/>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F90660"/>
    <w:rPr>
      <w:color w:val="605E5C"/>
      <w:shd w:val="clear" w:color="auto" w:fill="E1DFDD"/>
    </w:rPr>
  </w:style>
  <w:style w:type="table" w:styleId="PlainTable2">
    <w:name w:val="Plain Table 2"/>
    <w:basedOn w:val="TableNormal"/>
    <w:uiPriority w:val="42"/>
    <w:rsid w:val="00F90660"/>
    <w:pPr>
      <w:spacing w:after="0" w:line="240" w:lineRule="auto"/>
    </w:pPr>
    <w:rPr>
      <w:lang w:val="en-GB"/>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
    <w:name w:val="TableGrid"/>
    <w:rsid w:val="00F90660"/>
    <w:pPr>
      <w:spacing w:after="0" w:line="240" w:lineRule="auto"/>
    </w:pPr>
    <w:rPr>
      <w:rFonts w:eastAsiaTheme="minorEastAsia"/>
      <w:lang w:eastAsia="lv-LV"/>
    </w:rPr>
    <w:tblPr>
      <w:tblCellMar>
        <w:top w:w="0" w:type="dxa"/>
        <w:left w:w="0" w:type="dxa"/>
        <w:bottom w:w="0" w:type="dxa"/>
        <w:right w:w="0" w:type="dxa"/>
      </w:tblCellMar>
    </w:tblPr>
  </w:style>
  <w:style w:type="paragraph" w:customStyle="1" w:styleId="msonormal0">
    <w:name w:val="msonormal"/>
    <w:basedOn w:val="Normal"/>
    <w:rsid w:val="00F90660"/>
    <w:pPr>
      <w:spacing w:before="100" w:beforeAutospacing="1" w:after="100" w:afterAutospacing="1" w:line="240" w:lineRule="auto"/>
      <w:ind w:firstLine="720"/>
      <w:jc w:val="both"/>
    </w:pPr>
    <w:rPr>
      <w:rFonts w:ascii="Times New Roman" w:eastAsia="Times New Roman" w:hAnsi="Times New Roman" w:cs="Times New Roman"/>
      <w:sz w:val="24"/>
      <w:szCs w:val="24"/>
      <w:lang w:eastAsia="en-GB"/>
    </w:rPr>
  </w:style>
  <w:style w:type="paragraph" w:customStyle="1" w:styleId="font5">
    <w:name w:val="font5"/>
    <w:basedOn w:val="Normal"/>
    <w:rsid w:val="00F90660"/>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6">
    <w:name w:val="font6"/>
    <w:basedOn w:val="Normal"/>
    <w:rsid w:val="00F90660"/>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xl65">
    <w:name w:val="xl65"/>
    <w:basedOn w:val="Normal"/>
    <w:rsid w:val="00F90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6">
    <w:name w:val="xl66"/>
    <w:basedOn w:val="Normal"/>
    <w:rsid w:val="00F906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7">
    <w:name w:val="xl67"/>
    <w:basedOn w:val="Normal"/>
    <w:rsid w:val="00F90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8">
    <w:name w:val="xl68"/>
    <w:basedOn w:val="Normal"/>
    <w:rsid w:val="00F9066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9">
    <w:name w:val="xl69"/>
    <w:basedOn w:val="Normal"/>
    <w:rsid w:val="00F90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0">
    <w:name w:val="xl70"/>
    <w:basedOn w:val="Normal"/>
    <w:rsid w:val="00F9066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71">
    <w:name w:val="xl71"/>
    <w:basedOn w:val="Normal"/>
    <w:rsid w:val="00F90660"/>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2">
    <w:name w:val="xl72"/>
    <w:basedOn w:val="Normal"/>
    <w:rsid w:val="00F90660"/>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3">
    <w:name w:val="xl73"/>
    <w:basedOn w:val="Normal"/>
    <w:rsid w:val="00F90660"/>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eastAsia="lv-LV"/>
    </w:rPr>
  </w:style>
  <w:style w:type="paragraph" w:customStyle="1" w:styleId="xl74">
    <w:name w:val="xl74"/>
    <w:basedOn w:val="Normal"/>
    <w:rsid w:val="00F90660"/>
    <w:pPr>
      <w:pBdr>
        <w:top w:val="single" w:sz="4"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pPr>
    <w:rPr>
      <w:rFonts w:ascii="Calibri" w:eastAsia="Times New Roman" w:hAnsi="Calibri" w:cs="Calibri"/>
      <w:sz w:val="24"/>
      <w:szCs w:val="24"/>
      <w:lang w:eastAsia="lv-LV"/>
    </w:rPr>
  </w:style>
  <w:style w:type="paragraph" w:customStyle="1" w:styleId="xl75">
    <w:name w:val="xl75"/>
    <w:basedOn w:val="Normal"/>
    <w:rsid w:val="00F90660"/>
    <w:pPr>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76">
    <w:name w:val="xl76"/>
    <w:basedOn w:val="Normal"/>
    <w:rsid w:val="00F90660"/>
    <w:pPr>
      <w:spacing w:before="100" w:beforeAutospacing="1" w:after="100" w:afterAutospacing="1" w:line="240" w:lineRule="auto"/>
      <w:textAlignment w:val="top"/>
    </w:pPr>
    <w:rPr>
      <w:rFonts w:ascii="Calibri Light" w:eastAsia="Times New Roman" w:hAnsi="Calibri Light" w:cs="Calibri Light"/>
      <w:sz w:val="24"/>
      <w:szCs w:val="24"/>
      <w:lang w:eastAsia="lv-LV"/>
    </w:rPr>
  </w:style>
  <w:style w:type="paragraph" w:customStyle="1" w:styleId="xl77">
    <w:name w:val="xl77"/>
    <w:basedOn w:val="Normal"/>
    <w:rsid w:val="00F90660"/>
    <w:pPr>
      <w:spacing w:before="100" w:beforeAutospacing="1" w:after="100" w:afterAutospacing="1" w:line="240" w:lineRule="auto"/>
    </w:pPr>
    <w:rPr>
      <w:rFonts w:ascii="Calibri Light" w:eastAsia="Times New Roman" w:hAnsi="Calibri Light" w:cs="Calibri Light"/>
      <w:b/>
      <w:bCs/>
      <w:sz w:val="24"/>
      <w:szCs w:val="24"/>
      <w:lang w:eastAsia="lv-LV"/>
    </w:rPr>
  </w:style>
  <w:style w:type="paragraph" w:customStyle="1" w:styleId="xl78">
    <w:name w:val="xl78"/>
    <w:basedOn w:val="Normal"/>
    <w:rsid w:val="00F90660"/>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eastAsia="lv-LV"/>
    </w:rPr>
  </w:style>
  <w:style w:type="paragraph" w:customStyle="1" w:styleId="xl79">
    <w:name w:val="xl79"/>
    <w:basedOn w:val="Normal"/>
    <w:rsid w:val="00F90660"/>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b/>
      <w:bCs/>
      <w:sz w:val="24"/>
      <w:szCs w:val="24"/>
      <w:lang w:eastAsia="lv-LV"/>
    </w:rPr>
  </w:style>
  <w:style w:type="paragraph" w:customStyle="1" w:styleId="xl80">
    <w:name w:val="xl80"/>
    <w:basedOn w:val="Normal"/>
    <w:rsid w:val="00F90660"/>
    <w:pPr>
      <w:pBdr>
        <w:top w:val="single" w:sz="8" w:space="0" w:color="auto"/>
        <w:left w:val="single" w:sz="4"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eastAsia="lv-LV"/>
    </w:rPr>
  </w:style>
  <w:style w:type="paragraph" w:customStyle="1" w:styleId="xl81">
    <w:name w:val="xl81"/>
    <w:basedOn w:val="Normal"/>
    <w:rsid w:val="00F90660"/>
    <w:pPr>
      <w:pBdr>
        <w:top w:val="single" w:sz="8" w:space="0" w:color="auto"/>
        <w:left w:val="single" w:sz="4" w:space="0" w:color="auto"/>
        <w:bottom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eastAsia="lv-LV"/>
    </w:rPr>
  </w:style>
  <w:style w:type="paragraph" w:customStyle="1" w:styleId="xl82">
    <w:name w:val="xl82"/>
    <w:basedOn w:val="Normal"/>
    <w:rsid w:val="00F90660"/>
    <w:pPr>
      <w:pBdr>
        <w:top w:val="single" w:sz="8" w:space="0" w:color="auto"/>
        <w:left w:val="single" w:sz="8" w:space="0" w:color="auto"/>
        <w:bottom w:val="single" w:sz="8" w:space="0" w:color="auto"/>
        <w:right w:val="single" w:sz="4"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eastAsia="lv-LV"/>
    </w:rPr>
  </w:style>
  <w:style w:type="paragraph" w:customStyle="1" w:styleId="xl83">
    <w:name w:val="xl83"/>
    <w:basedOn w:val="Normal"/>
    <w:rsid w:val="00F90660"/>
    <w:pPr>
      <w:pBdr>
        <w:top w:val="single" w:sz="8" w:space="0" w:color="auto"/>
        <w:left w:val="single" w:sz="4" w:space="0" w:color="auto"/>
        <w:bottom w:val="single" w:sz="8" w:space="0" w:color="auto"/>
        <w:right w:val="single" w:sz="8" w:space="0" w:color="auto"/>
      </w:pBdr>
      <w:shd w:val="clear" w:color="000000" w:fill="C6E0B4"/>
      <w:spacing w:before="100" w:beforeAutospacing="1" w:after="100" w:afterAutospacing="1" w:line="240" w:lineRule="auto"/>
      <w:textAlignment w:val="top"/>
    </w:pPr>
    <w:rPr>
      <w:rFonts w:ascii="Calibri Light" w:eastAsia="Times New Roman" w:hAnsi="Calibri Light" w:cs="Calibri Light"/>
      <w:sz w:val="17"/>
      <w:szCs w:val="17"/>
      <w:lang w:eastAsia="lv-LV"/>
    </w:rPr>
  </w:style>
  <w:style w:type="paragraph" w:customStyle="1" w:styleId="xl84">
    <w:name w:val="xl84"/>
    <w:basedOn w:val="Normal"/>
    <w:rsid w:val="00F90660"/>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85">
    <w:name w:val="xl85"/>
    <w:basedOn w:val="Normal"/>
    <w:rsid w:val="00F90660"/>
    <w:pPr>
      <w:pBdr>
        <w:top w:val="single" w:sz="8"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86">
    <w:name w:val="xl86"/>
    <w:basedOn w:val="Normal"/>
    <w:rsid w:val="00F9066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87">
    <w:name w:val="xl87"/>
    <w:basedOn w:val="Normal"/>
    <w:rsid w:val="00F906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88">
    <w:name w:val="xl88"/>
    <w:basedOn w:val="Normal"/>
    <w:rsid w:val="00F9066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89">
    <w:name w:val="xl89"/>
    <w:basedOn w:val="Normal"/>
    <w:rsid w:val="00F90660"/>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90">
    <w:name w:val="xl90"/>
    <w:basedOn w:val="Normal"/>
    <w:rsid w:val="00F90660"/>
    <w:pPr>
      <w:pBdr>
        <w:top w:val="single" w:sz="4" w:space="0" w:color="auto"/>
        <w:left w:val="single" w:sz="8" w:space="0" w:color="auto"/>
        <w:bottom w:val="single" w:sz="4"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91">
    <w:name w:val="xl91"/>
    <w:basedOn w:val="Normal"/>
    <w:rsid w:val="00F9066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92">
    <w:name w:val="xl92"/>
    <w:basedOn w:val="Normal"/>
    <w:rsid w:val="00F90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93">
    <w:name w:val="xl93"/>
    <w:basedOn w:val="Normal"/>
    <w:rsid w:val="00F9066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94">
    <w:name w:val="xl94"/>
    <w:basedOn w:val="Normal"/>
    <w:rsid w:val="00F90660"/>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95">
    <w:name w:val="xl95"/>
    <w:basedOn w:val="Normal"/>
    <w:rsid w:val="00F90660"/>
    <w:pPr>
      <w:pBdr>
        <w:top w:val="single" w:sz="4" w:space="0" w:color="auto"/>
        <w:left w:val="single" w:sz="8" w:space="0" w:color="auto"/>
        <w:bottom w:val="single" w:sz="8" w:space="0" w:color="auto"/>
        <w:right w:val="single" w:sz="8" w:space="0" w:color="auto"/>
      </w:pBdr>
      <w:shd w:val="clear" w:color="000000" w:fill="E2EFDA"/>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96">
    <w:name w:val="xl96"/>
    <w:basedOn w:val="Normal"/>
    <w:rsid w:val="00F9066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97">
    <w:name w:val="xl97"/>
    <w:basedOn w:val="Normal"/>
    <w:rsid w:val="00F90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98">
    <w:name w:val="xl98"/>
    <w:basedOn w:val="Normal"/>
    <w:rsid w:val="00F9066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Calibri Light" w:eastAsia="Times New Roman" w:hAnsi="Calibri Light" w:cs="Calibri Light"/>
      <w:sz w:val="24"/>
      <w:szCs w:val="24"/>
      <w:lang w:eastAsia="lv-LV"/>
    </w:rPr>
  </w:style>
  <w:style w:type="paragraph" w:customStyle="1" w:styleId="xl99">
    <w:name w:val="xl99"/>
    <w:basedOn w:val="Normal"/>
    <w:rsid w:val="00F90660"/>
    <w:pPr>
      <w:pBdr>
        <w:top w:val="single" w:sz="8"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00">
    <w:name w:val="xl100"/>
    <w:basedOn w:val="Normal"/>
    <w:rsid w:val="00F9066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eastAsia="lv-LV"/>
    </w:rPr>
  </w:style>
  <w:style w:type="paragraph" w:customStyle="1" w:styleId="xl101">
    <w:name w:val="xl101"/>
    <w:basedOn w:val="Normal"/>
    <w:rsid w:val="00F90660"/>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02">
    <w:name w:val="xl102"/>
    <w:basedOn w:val="Normal"/>
    <w:rsid w:val="00F906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eastAsia="lv-LV"/>
    </w:rPr>
  </w:style>
  <w:style w:type="paragraph" w:customStyle="1" w:styleId="xl103">
    <w:name w:val="xl103"/>
    <w:basedOn w:val="Normal"/>
    <w:rsid w:val="00F90660"/>
    <w:pPr>
      <w:pBdr>
        <w:top w:val="single" w:sz="4" w:space="0" w:color="auto"/>
        <w:left w:val="single" w:sz="8" w:space="0" w:color="auto"/>
        <w:bottom w:val="single" w:sz="4"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04">
    <w:name w:val="xl104"/>
    <w:basedOn w:val="Normal"/>
    <w:rsid w:val="00F90660"/>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05">
    <w:name w:val="xl105"/>
    <w:basedOn w:val="Normal"/>
    <w:rsid w:val="00F90660"/>
    <w:pPr>
      <w:pBdr>
        <w:top w:val="single" w:sz="4" w:space="0" w:color="auto"/>
        <w:left w:val="single" w:sz="8" w:space="0" w:color="auto"/>
        <w:bottom w:val="single" w:sz="8" w:space="0" w:color="auto"/>
        <w:right w:val="single" w:sz="8" w:space="0" w:color="auto"/>
      </w:pBdr>
      <w:shd w:val="clear" w:color="000000" w:fill="FFF2CC"/>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06">
    <w:name w:val="xl106"/>
    <w:basedOn w:val="Normal"/>
    <w:rsid w:val="00F9066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Light" w:eastAsia="Times New Roman" w:hAnsi="Calibri Light" w:cs="Calibri Light"/>
      <w:sz w:val="24"/>
      <w:szCs w:val="24"/>
      <w:lang w:eastAsia="lv-LV"/>
    </w:rPr>
  </w:style>
  <w:style w:type="paragraph" w:customStyle="1" w:styleId="xl107">
    <w:name w:val="xl107"/>
    <w:basedOn w:val="Normal"/>
    <w:rsid w:val="00F90660"/>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08">
    <w:name w:val="xl108"/>
    <w:basedOn w:val="Normal"/>
    <w:rsid w:val="00F90660"/>
    <w:pPr>
      <w:pBdr>
        <w:top w:val="single" w:sz="8"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09">
    <w:name w:val="xl109"/>
    <w:basedOn w:val="Normal"/>
    <w:rsid w:val="00F90660"/>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10">
    <w:name w:val="xl110"/>
    <w:basedOn w:val="Normal"/>
    <w:rsid w:val="00F90660"/>
    <w:pPr>
      <w:pBdr>
        <w:top w:val="single" w:sz="4" w:space="0" w:color="auto"/>
        <w:left w:val="single" w:sz="8" w:space="0" w:color="auto"/>
        <w:bottom w:val="single" w:sz="4"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11">
    <w:name w:val="xl111"/>
    <w:basedOn w:val="Normal"/>
    <w:rsid w:val="00F90660"/>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12">
    <w:name w:val="xl112"/>
    <w:basedOn w:val="Normal"/>
    <w:rsid w:val="00F90660"/>
    <w:pPr>
      <w:pBdr>
        <w:top w:val="single" w:sz="4"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pPr>
    <w:rPr>
      <w:rFonts w:ascii="Calibri Light" w:eastAsia="Times New Roman" w:hAnsi="Calibri Light" w:cs="Calibri Light"/>
      <w:sz w:val="24"/>
      <w:szCs w:val="24"/>
      <w:lang w:eastAsia="lv-LV"/>
    </w:rPr>
  </w:style>
  <w:style w:type="paragraph" w:customStyle="1" w:styleId="xl113">
    <w:name w:val="xl113"/>
    <w:basedOn w:val="Normal"/>
    <w:rsid w:val="00F90660"/>
    <w:pPr>
      <w:spacing w:before="100" w:beforeAutospacing="1" w:after="100" w:afterAutospacing="1" w:line="240" w:lineRule="auto"/>
    </w:pPr>
    <w:rPr>
      <w:rFonts w:ascii="Calibri Light" w:eastAsia="Times New Roman" w:hAnsi="Calibri Light" w:cs="Calibri Light"/>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03621">
      <w:bodyDiv w:val="1"/>
      <w:marLeft w:val="0"/>
      <w:marRight w:val="0"/>
      <w:marTop w:val="0"/>
      <w:marBottom w:val="0"/>
      <w:divBdr>
        <w:top w:val="none" w:sz="0" w:space="0" w:color="auto"/>
        <w:left w:val="none" w:sz="0" w:space="0" w:color="auto"/>
        <w:bottom w:val="none" w:sz="0" w:space="0" w:color="auto"/>
        <w:right w:val="none" w:sz="0" w:space="0" w:color="auto"/>
      </w:divBdr>
      <w:divsChild>
        <w:div w:id="661084490">
          <w:marLeft w:val="0"/>
          <w:marRight w:val="0"/>
          <w:marTop w:val="0"/>
          <w:marBottom w:val="0"/>
          <w:divBdr>
            <w:top w:val="none" w:sz="0" w:space="0" w:color="auto"/>
            <w:left w:val="none" w:sz="0" w:space="0" w:color="auto"/>
            <w:bottom w:val="none" w:sz="0" w:space="0" w:color="auto"/>
            <w:right w:val="none" w:sz="0" w:space="0" w:color="auto"/>
          </w:divBdr>
          <w:divsChild>
            <w:div w:id="2099791266">
              <w:marLeft w:val="0"/>
              <w:marRight w:val="0"/>
              <w:marTop w:val="0"/>
              <w:marBottom w:val="0"/>
              <w:divBdr>
                <w:top w:val="none" w:sz="0" w:space="0" w:color="auto"/>
                <w:left w:val="none" w:sz="0" w:space="0" w:color="auto"/>
                <w:bottom w:val="none" w:sz="0" w:space="0" w:color="auto"/>
                <w:right w:val="none" w:sz="0" w:space="0" w:color="auto"/>
              </w:divBdr>
              <w:divsChild>
                <w:div w:id="877007369">
                  <w:marLeft w:val="0"/>
                  <w:marRight w:val="0"/>
                  <w:marTop w:val="0"/>
                  <w:marBottom w:val="0"/>
                  <w:divBdr>
                    <w:top w:val="none" w:sz="0" w:space="0" w:color="auto"/>
                    <w:left w:val="none" w:sz="0" w:space="0" w:color="auto"/>
                    <w:bottom w:val="none" w:sz="0" w:space="0" w:color="auto"/>
                    <w:right w:val="none" w:sz="0" w:space="0" w:color="auto"/>
                  </w:divBdr>
                </w:div>
              </w:divsChild>
            </w:div>
            <w:div w:id="844131270">
              <w:marLeft w:val="0"/>
              <w:marRight w:val="0"/>
              <w:marTop w:val="0"/>
              <w:marBottom w:val="0"/>
              <w:divBdr>
                <w:top w:val="none" w:sz="0" w:space="0" w:color="auto"/>
                <w:left w:val="none" w:sz="0" w:space="0" w:color="auto"/>
                <w:bottom w:val="none" w:sz="0" w:space="0" w:color="auto"/>
                <w:right w:val="none" w:sz="0" w:space="0" w:color="auto"/>
              </w:divBdr>
              <w:divsChild>
                <w:div w:id="20517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947764">
      <w:bodyDiv w:val="1"/>
      <w:marLeft w:val="0"/>
      <w:marRight w:val="0"/>
      <w:marTop w:val="0"/>
      <w:marBottom w:val="0"/>
      <w:divBdr>
        <w:top w:val="none" w:sz="0" w:space="0" w:color="auto"/>
        <w:left w:val="none" w:sz="0" w:space="0" w:color="auto"/>
        <w:bottom w:val="none" w:sz="0" w:space="0" w:color="auto"/>
        <w:right w:val="none" w:sz="0" w:space="0" w:color="auto"/>
      </w:divBdr>
      <w:divsChild>
        <w:div w:id="1379740620">
          <w:marLeft w:val="0"/>
          <w:marRight w:val="0"/>
          <w:marTop w:val="0"/>
          <w:marBottom w:val="0"/>
          <w:divBdr>
            <w:top w:val="none" w:sz="0" w:space="0" w:color="auto"/>
            <w:left w:val="none" w:sz="0" w:space="0" w:color="auto"/>
            <w:bottom w:val="none" w:sz="0" w:space="0" w:color="auto"/>
            <w:right w:val="none" w:sz="0" w:space="0" w:color="auto"/>
          </w:divBdr>
          <w:divsChild>
            <w:div w:id="609776618">
              <w:marLeft w:val="0"/>
              <w:marRight w:val="0"/>
              <w:marTop w:val="0"/>
              <w:marBottom w:val="0"/>
              <w:divBdr>
                <w:top w:val="none" w:sz="0" w:space="0" w:color="auto"/>
                <w:left w:val="none" w:sz="0" w:space="0" w:color="auto"/>
                <w:bottom w:val="none" w:sz="0" w:space="0" w:color="auto"/>
                <w:right w:val="none" w:sz="0" w:space="0" w:color="auto"/>
              </w:divBdr>
              <w:divsChild>
                <w:div w:id="2023579819">
                  <w:marLeft w:val="0"/>
                  <w:marRight w:val="0"/>
                  <w:marTop w:val="0"/>
                  <w:marBottom w:val="0"/>
                  <w:divBdr>
                    <w:top w:val="none" w:sz="0" w:space="0" w:color="auto"/>
                    <w:left w:val="none" w:sz="0" w:space="0" w:color="auto"/>
                    <w:bottom w:val="none" w:sz="0" w:space="0" w:color="auto"/>
                    <w:right w:val="none" w:sz="0" w:space="0" w:color="auto"/>
                  </w:divBdr>
                </w:div>
              </w:divsChild>
            </w:div>
            <w:div w:id="1266503561">
              <w:marLeft w:val="0"/>
              <w:marRight w:val="0"/>
              <w:marTop w:val="0"/>
              <w:marBottom w:val="0"/>
              <w:divBdr>
                <w:top w:val="none" w:sz="0" w:space="0" w:color="auto"/>
                <w:left w:val="none" w:sz="0" w:space="0" w:color="auto"/>
                <w:bottom w:val="none" w:sz="0" w:space="0" w:color="auto"/>
                <w:right w:val="none" w:sz="0" w:space="0" w:color="auto"/>
              </w:divBdr>
              <w:divsChild>
                <w:div w:id="12767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ese.Pelsa@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84</Pages>
  <Words>78921</Words>
  <Characters>44986</Characters>
  <Application>Microsoft Office Word</Application>
  <DocSecurity>0</DocSecurity>
  <Lines>374</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Pelša</dc:creator>
  <cp:keywords/>
  <dc:description/>
  <cp:lastModifiedBy>Inese Pelša</cp:lastModifiedBy>
  <cp:revision>75</cp:revision>
  <dcterms:created xsi:type="dcterms:W3CDTF">2022-06-21T05:54:00Z</dcterms:created>
  <dcterms:modified xsi:type="dcterms:W3CDTF">2022-06-21T11:39:00Z</dcterms:modified>
</cp:coreProperties>
</file>