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16. martā (prot. Nr. 15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Imantu Jurevičiu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w:t>
      </w:r>
      <w:r w:rsidR="00000000" w:rsidRPr="00000000" w:rsidDel="00000000">
        <w:rPr>
          <w:rtl w:val="0"/>
        </w:rPr>
        <w:t xml:space="preserve">Valsts civildienesta likuma</w:t>
      </w:r>
      <w:r w:rsidR="00000000" w:rsidRPr="00000000" w:rsidDel="00000000">
        <w:rPr>
          <w:shd w:fill="#ffffff" w:val="clea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trešo daļu un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pirmo un trešo daļu, lai nodrošinātu labu pārvaldību valsts interesēs, kā arī ņemot vērā Valsts probācijas dienesta Darbības analīzes un attīstības departamenta vadītāja, dienesta vadītāja vietnieka Imanta Jurevičius atbilstību Valsts probācijas dienesta vadītāja amata aprakstā izvirzītajām prasībām un I. Jurevičius piekrišanu pārcelšanai, apstiprināt I. Jurevičius kandidatūru pārcelšanai Valsts probācijas dienesta vadītāja amatā.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22-TA-534</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22-TA-534</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rīkojuma_projekts_22-TA-534.docx</dc:title>
</cp:coreProperties>
</file>

<file path=docProps/custom.xml><?xml version="1.0" encoding="utf-8"?>
<Properties xmlns="http://schemas.openxmlformats.org/officeDocument/2006/custom-properties" xmlns:vt="http://schemas.openxmlformats.org/officeDocument/2006/docPropsVTypes"/>
</file>