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20. februārī (prot. Nr. 8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 un </w:t>
      </w:r>
      <w:r w:rsidR="00000000" w:rsidRPr="00000000" w:rsidDel="00000000">
        <w:rPr>
          <w:rStyle w:val="paragraph"/>
          <w:i w:val="1"/>
          <w:rtl w:val="0"/>
        </w:rPr>
        <w:t xml:space="preserve">Jaunuzņēmumu darbības atbalsta likuma 7. panta</w:t>
      </w:r>
      <w:r w:rsidR="00000000" w:rsidRPr="00000000" w:rsidDel="00000000">
        <w:rPr>
          <w:rStyle w:val="paragraph"/>
          <w:i w:val="1"/>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(Latvijas Vēstnesis, 2023, 225.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viens vienots uzņēmums – komersants, kas atbilst Eiropas Komisijas 2023. gada 13. decembra Regulas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Komisijas regula Nr. 2023/2831) 2. panta 2.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līdz 2024.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 atbalstīto komersantu skaits (tai skaitā mikrouzņēmumi, mazi, vidēji un lieli uzņēmumi) – 6;</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12.1.2. ar grantiem atbalstīto komersantu skaits – 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līdz 2029.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12.2.1. atbalstīto komersantu skaits (tai skaitā mikrouzņēmumi, mazi, vidēji un lieli uzņēmumi) – 190;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12.2.2. ar grantiem atbalstīto komersantu skaits – 190;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12.2.3. komersantu skaits, kas sadarbojas ar pētniecības organizācijām, – 38."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Vienkāršoto izmaksu vienotā izmaksu likme šo noteikumu 21.1. un 21.2. apakšpunktā minētajām personāla atlīdzības izmaksām ir 20 % no pārējām tiešajām attiecināmajām izmaksām, neieskaitot personāla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"32.6. atbalstu saņēmušo komersantu eksporta apjomu, vienlaikus informējot, vai eksporta apjoms atbalstītajos komersantos sasniedz vismaz 10 % piecu gadu laikā no gala labuma guvēju noslēguma pārskata iesniegšanas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"32.7. atbalstu saņēmušo komersantu produktivitātes apjomu, vienlaikus informējot, vai produktivitātes apjoms atbalstītajos komersantos sasniedz vismaz 10 % piecu gadu laikā no gala labuma guvēju noslēguma pārskata iesniegšanas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Aktivitātes mērķa grupa ir sīkie (mikro), mazie un vidējie komersanti, tai skaitā jaunuzņēmumi."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Viena pieteikuma ietvaros atbalsts komersantam iepirkuma līguma priekšmeta īstenošanai nepārsniedz 50 000 </w:t>
      </w:r>
      <w:r w:rsidR="00000000" w:rsidRPr="00000000" w:rsidDel="00000000">
        <w:rPr>
          <w:i w:val="1"/>
          <w:rtl w:val="0"/>
        </w:rPr>
        <w:t xml:space="preserve">euro, </w:t>
      </w:r>
      <w:r w:rsidR="00000000" w:rsidRPr="00000000" w:rsidDel="00000000">
        <w:rPr>
          <w:rtl w:val="0"/>
        </w:rPr>
        <w:t xml:space="preserve">ievērojot atbalsta intensitāti saskaņā ar Komisijas regulu Nr. 2023/2831 un Komisijas regulu Nr. 651/2014. Vienlaikus tiek izpildīti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59.1. pasūtītājs sedz atlikušo iepirkuma līgumcenas daļu, un par to komersants iesniedz apliecinājumu finansējuma saņēmējam;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59.2. komersants finansējuma saņēmējam iesniedz iepirkuma līguma kopiju vai iepirkuma līguma norakstu, kas apliecina, ka komersantam ir tiesības iepirkuma līguma rezultātā radīto intelektuālo īpašumu, zinātību, jauno produktu vai tehnoloģiju izmantot ārpus iepirkuma līguma."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Atbalstu komersantiem šo noteikumu 58. punktā minētajai darbībai sniedz, ievērojot šo noteikumu 91.3. un 91.4. apakšpunktā minēto maksimālo atbalsta intensitāti un atbalsta regulējumu, ja komersants ir sasniedzis vai līdz ar jauna atbalsta piešķiršanu pārsniegs Komisijas regulas Nr. 2023/2831 3. panta 2. punktā noteikto maksimālo robežvērtību viena vienota uzņēmuma līmenī. Šajā gadījumā pārējās šo noteikumu 57. punktā minēto darbību attiecināmās izmaksas komersants sedz no saviem līdzekļiem vai iepirkuma līguma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Atbalstu šo noteikumu 57. punktā minētajām darbībām sniedz saskaņā ar Komisijas regulu Nr. 2023/2831, izņemot šo noteikumu 60.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Šajos noteikumos minētās izmaksas finansējuma saņēmējam ir attiecināmas no šo noteikumu spēkā stāšanās brīža. Ja atbalstu piešķir saskaņā ar Komisijas regulu Nr. 2023/2831, šajos noteikumos minētās izmaksas gala labuma guvējiem ir attiecināmas no dienas, kad pieņemts lēmums par atbalsta piešķiršanu gala labuma guvējam. Ja atbalstu piešķir saskaņā ar Komisijas regulu Nr. 651/2014, šajos noteikumos minētās izmaksas gala labuma guvējiem ir attiecināmas no dienas, kad gala labuma guvējs ir iesniedzis finansējuma saņēmējam iesniegumu par projekta īstenošanu, ievērojot, ka darbus var uzsākt pēc šajos noteikumos minētā projekta iesnieguma iesniegšanas atbilstoši Komisijas regulas Nr. 651/2014 6. pantam. Ja darbi pie projekta sākti pirms tā iesniegšanas, viss projekts nav attiecināms. Darbu sākums ir brīdis, kas atbilst Komisijas regulas Nr. 651/2014 2. panta 23.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77.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1</w:t>
      </w:r>
      <w:r w:rsidR="00000000" w:rsidRPr="00000000" w:rsidDel="00000000">
        <w:rPr>
          <w:rtl w:val="0"/>
        </w:rPr>
        <w:t xml:space="preserve"> Gala labuma guvējs līdz ar projekta pieteikuma iesniegšanu apliecina, ka saņemtais atbalsts tiks vērsts uz eksporta apjoma un produktivitātes kāpināšanu gala labuma guvēja līmenī piecu gadu laikā pēc gala labuma guvēja noslēguma pārskata iesniegšanas."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77.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2</w:t>
      </w:r>
      <w:r w:rsidR="00000000" w:rsidRPr="00000000" w:rsidDel="00000000">
        <w:rPr>
          <w:rtl w:val="0"/>
        </w:rPr>
        <w:t xml:space="preserve"> Finansējuma saņēmējs pēc gala labuma guvēja noslēguma pārskata saņemšanas un piecus gadus pēc tam pārbauda gala labuma guvēja eksporta apjoma un produktivitātes pieaugumu."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77.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 Finansējuma saņēmējs nepiešķir gala labuma guvējam atbalstu nozarēs un darbībās, kas minētas šo noteikumu 2. pielikumā, kā arī Eiropas Parlamenta un Padomes 2021. gada 24. jūnija Regulas (ES) Nr. 2021/1058 par Eiropas Reģionālās attīstības fondu un Kohēzijas fondu 7. panta 1. punktā noteiktajās nozarēs un darbībās: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1. atkritumu apglabāšana un atkritumu apglabāšanas poligoni, mehāniski bioloģiskā apstrāde vai atkritumu sadedzināšana un mehāniskās bioloģiskās attīrīšanas un atkritumu sadedzināšanas iekārtas;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2. darbības saistībā ar fosilo kurināmo, tostarp tā pakārtota izmantošana (tai skaitā projekti elektroenerģijas vai siltuma ražošanā), un saistīto pārvades un sadales infrastruktūru, izmantojot dabasgāzi;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3. darbības, kas saistītas ar siltumnīcefekta gāzu emisiju radīšanu;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4. iekārtu un to programmatūru iegāde un noma, kas saistītas ar atkritumu savākšanu, uzglabāšanu, apstrādi, pārstrādi un apglabāšanu;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5. darbības, kas kaitē ūdensobjektu labam stāvoklim vai to labam ekoloģiskajam potenciālam, ieskaitot virszemes ūdeņus un gruntsūdeņus, vai jūras ūdeņu labam vides stāvoklim;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6. darbības,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7. darbības, kas kaitē vides piesārņojuma novēršanai un kontrolei;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8. darbības, kas kaitē bioloģiskās daudzveidības un ekosistēmu aizsardzībai un atjaunošanai, ja minētā darbība kaitē ekosistēmu labam stāvoklim un izturētspējai vai dzīvotņu un sugu (tostarp Eiropas Savienības nozīmes dzīvotņu un sugu) aizsardzības statusam;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3</w:t>
      </w:r>
      <w:r w:rsidR="00000000" w:rsidRPr="00000000" w:rsidDel="00000000">
        <w:rPr>
          <w:rtl w:val="0"/>
        </w:rPr>
        <w:t xml:space="preserve">9. darbības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77.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4</w:t>
      </w:r>
      <w:r w:rsidR="00000000" w:rsidRPr="00000000" w:rsidDel="00000000">
        <w:rPr>
          <w:rtl w:val="0"/>
        </w:rPr>
        <w:t xml:space="preserve"> Ja gala labuma guvējs vienlaikus darbojas gan kādā no atbalstāmajām nozarēm, gan kādā no šo noteikumu 2. pielikumā minētajām neatbalstāmajām nozarēm un darbībām, tas, lai saņemtu atbalstu, nodrošina šo nozaru un darbību vai izmaksu nodalīšanu."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VII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 Ar komercdarbības atbalsta saņemšanu saistītie nosacījumi, ja komercdarbības atbalsts tiek piešķirts saskaņā ar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Finansējumu šo noteikumu 35. punktā minētajiem gala labuma guvējiem šo noteikumu 36. punktā minētajām darbībām un finansējumu šo noteikumu 56. punktā minētajiem gala labuma guvējiem šo noteikumu 57. punktā minētajām darbībām piešķir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kā arī ņemot vērā šo noteikumu 52. un 61.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80.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Potenciālais gala labuma guvējs, piesakoties atbalstam šo noteikumu 31. punktā minētajā kārtībā, norāda </w:t>
      </w:r>
      <w:r w:rsidR="00000000" w:rsidRPr="00000000" w:rsidDel="00000000">
        <w:rPr>
          <w:i w:val="1"/>
          <w:rtl w:val="0"/>
        </w:rPr>
        <w:t xml:space="preserve">de minimis</w:t>
      </w:r>
      <w:r w:rsidR="00000000" w:rsidRPr="00000000" w:rsidDel="00000000">
        <w:rPr>
          <w:rtl w:val="0"/>
        </w:rPr>
        <w:t xml:space="preserve"> atbalsta uzskaites sistēmā (turpmāk – sistēma) sagatavotās veidlapas identifikācijas numuru. Atbalsta sniedzējs uzskaita atbalstu, kas piešķirts saskaņā ar Komisijas regulu Nr. 2023/2831, ievērojot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Ja komercdarbības atbalsts tiek piešķirts saskaņā ar Komisijas regulu Nr. 2023/2831, maksimālā atbalsta intensitāte: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šo noteikumu 36.1., 36.2., 36.3. un 36.4. apakšpunktā minētajām darbībām, ievērojot šo noteikumu 45.1. apakšpunktā minētos nosacījumus, ir 100 % no ārpakalpojumu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šo noteikumu 36. punktā (izņemot 36.7. apakšpunktu) minētajām darbībām ir 85 % no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šo noteikumu 57.1. un 57.2. apakšpunktā minētajām darbībām, ievērojot šo noteikumu 59. punktā minētos nosacījumus, ir 50 % no ārpakalpojumu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81.4. šo noteikumu 36.7. apakšpunktā minētajai darbībai ir 45 %."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Finansējuma saņēmējs pirms </w:t>
      </w:r>
      <w:r w:rsidR="00000000" w:rsidRPr="00000000" w:rsidDel="00000000">
        <w:rPr>
          <w:i w:val="1"/>
          <w:rtl w:val="0"/>
        </w:rPr>
        <w:t xml:space="preserve">de minimis</w:t>
      </w:r>
      <w:r w:rsidR="00000000" w:rsidRPr="00000000" w:rsidDel="00000000">
        <w:rPr>
          <w:rtl w:val="0"/>
        </w:rPr>
        <w:t xml:space="preserve"> atbalsta piešķiršanas gala labuma guvējam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saņemto </w:t>
      </w:r>
      <w:r w:rsidR="00000000" w:rsidRPr="00000000" w:rsidDel="00000000">
        <w:rPr>
          <w:i w:val="1"/>
          <w:rtl w:val="0"/>
        </w:rPr>
        <w:t xml:space="preserve">de minimis </w:t>
      </w:r>
      <w:r w:rsidR="00000000" w:rsidRPr="00000000" w:rsidDel="00000000">
        <w:rPr>
          <w:rtl w:val="0"/>
        </w:rPr>
        <w:t xml:space="preserve">atbalstu viena vienota uzņēmuma līmenī nepārsniedz Komisijas regulas Nr. 2023/2831 3. panta 2. punktā noteikto maksimālo </w:t>
      </w:r>
      <w:r w:rsidR="00000000" w:rsidRPr="00000000" w:rsidDel="00000000">
        <w:rPr>
          <w:i w:val="1"/>
          <w:rtl w:val="0"/>
        </w:rPr>
        <w:t xml:space="preserve">de minimis </w:t>
      </w:r>
      <w:r w:rsidR="00000000" w:rsidRPr="00000000" w:rsidDel="00000000">
        <w:rPr>
          <w:rtl w:val="0"/>
        </w:rPr>
        <w:t xml:space="preserve">atbalsta apmēru. </w:t>
      </w:r>
      <w:r w:rsidR="00000000" w:rsidRPr="00000000" w:rsidDel="00000000">
        <w:rPr>
          <w:i w:val="1"/>
          <w:rtl w:val="0"/>
        </w:rPr>
        <w:t xml:space="preserve">De minimis </w:t>
      </w:r>
      <w:r w:rsidR="00000000" w:rsidRPr="00000000" w:rsidDel="00000000">
        <w:rPr>
          <w:rtl w:val="0"/>
        </w:rPr>
        <w:t xml:space="preserve">atbalsta apmērs tiek vērtēts viena vienota uzņēmuma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Komersants, ievērojot Komisijas regulas Nr. 2023/2831 5. panta 1. un 3.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Šo noteikumu ietvaros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Finansējuma saņēmējs lēmumu par </w:t>
      </w:r>
      <w:r w:rsidR="00000000" w:rsidRPr="00000000" w:rsidDel="00000000">
        <w:rPr>
          <w:i w:val="1"/>
          <w:rtl w:val="0"/>
        </w:rPr>
        <w:t xml:space="preserve">de minimis </w:t>
      </w:r>
      <w:r w:rsidR="00000000" w:rsidRPr="00000000" w:rsidDel="00000000">
        <w:rPr>
          <w:rtl w:val="0"/>
        </w:rPr>
        <w:t xml:space="preserve">atbalsta piešķiršanu saskaņā ar Komisijas regulas Nr. 2023/2831 7. panta 3. punktu un 8. pantu var pieņemt līdz minētās regulas darbības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Atbilstoši Komisijas regulas Nr. 2023/2831 6. panta 3. punktam informācijas pieejamību nodrošina šādā veidā: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87.1. finansējuma saņēmējs nodrošina informācijas pieejamību 10 gadus, skaitot no dienas, kad piešķirts pēdējais atbalsts saskaņā ar atbalsta shēmu atbilstoši Komisijas regulai Nr. 2023/2831;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87.2. gala labuma guvējs nodrošina informācijas pieejamību 10 gadus, skaitot no finansējuma piešķiršanas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Finansējuma saņēmējs nepiešķir gala labuma guvējam </w:t>
      </w:r>
      <w:r w:rsidR="00000000" w:rsidRPr="00000000" w:rsidDel="00000000">
        <w:rPr>
          <w:i w:val="1"/>
          <w:rtl w:val="0"/>
        </w:rPr>
        <w:t xml:space="preserve">de minimis a</w:t>
      </w:r>
      <w:r w:rsidR="00000000" w:rsidRPr="00000000" w:rsidDel="00000000">
        <w:rPr>
          <w:rtl w:val="0"/>
        </w:rPr>
        <w:t xml:space="preserve">tbalstu, ja </w:t>
      </w:r>
      <w:r w:rsidR="00000000" w:rsidRPr="00000000" w:rsidDel="00000000">
        <w:rPr>
          <w:i w:val="1"/>
          <w:rtl w:val="0"/>
        </w:rPr>
        <w:t xml:space="preserve">de minimis </w:t>
      </w:r>
      <w:r w:rsidR="00000000" w:rsidRPr="00000000" w:rsidDel="00000000">
        <w:rPr>
          <w:rtl w:val="0"/>
        </w:rPr>
        <w:t xml:space="preserve">atbalsts ir saistīts ar kādu no Komisijas regulas Nr. 2023/2831 1. panta 1. punktā minētajām nozarēm un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Ja tiek pārkāptas komercdarbības atbalsta kontroles normas, kas izriet no Komisijas regulas Nr. 2023/2831, gala labuma guvējam ir pienākums atmaksāt atbalsta sniedzējam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 Ja gala labuma guvējs vienlaikus darbojas gan kādā no nozarēm, kas minētas Komisijas regulas Nr. 2023/2831 1. panta 1. punkta "a", "b", "c" vai "d" apakšpunktā, gan vienā vai vairākās citās nozarēs, uz kurām attiecas šīs regulas darbības joma, tas nodrošina šo nozaru darbību vai izmaksu nodalīšanu saskaņā ar Komisijas regulas Nr. 2023/2831 1. panta 2. punktu, nodrošinot, ka darbības nozarēs, kuras ir izslēgtas no šīs regulas darbības jomas, negūst labumu no </w:t>
      </w:r>
      <w:r w:rsidR="00000000" w:rsidRPr="00000000" w:rsidDel="00000000">
        <w:rPr>
          <w:i w:val="1"/>
          <w:rtl w:val="0"/>
        </w:rPr>
        <w:t xml:space="preserve">de minimis </w:t>
      </w:r>
      <w:r w:rsidR="00000000" w:rsidRPr="00000000" w:rsidDel="00000000">
        <w:rPr>
          <w:rtl w:val="0"/>
        </w:rPr>
        <w:t xml:space="preserve">atbalsta, ko piešķir saskaņā ar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94.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Maksimālā atbalsta intensitāte atbilstoši Komisijas regulas Nr. 651/2014 28. panta 3. punktam šo noteikumu 36.5. un 57.2. apakšpunktā minētajām darbībām sīkajiem (mikro), mazajiem, vidējiem komersantiem ir 50 %."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104.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Ja šo noteikumu 20.3., 20.6., 20.7. un 20.11. apakšpunktā minētais pasākums ir brīvas piekļuves pasākums, kas veicina tā dalībnieku (gala labuma guvēju) vispārējo zināšanu pilnveidi, nav konstatējams atbalsts saimnieciskās darbības veikšanai, dalība tajā nekvalificējas kā komercdarbības atbalsts un šo noteikumu 77.</w:t>
      </w:r>
      <w:r w:rsidR="00000000" w:rsidRPr="00000000" w:rsidDel="00000000">
        <w:rPr>
          <w:vertAlign w:val="superscript"/>
          <w:rtl w:val="0"/>
        </w:rPr>
        <w:t xml:space="preserve">3</w:t>
      </w:r>
      <w:r w:rsidR="00000000" w:rsidRPr="00000000" w:rsidDel="00000000">
        <w:rPr>
          <w:rtl w:val="0"/>
        </w:rPr>
        <w:t xml:space="preserve">, 78. un 88. punktā minētais komercdarbības atbalsta kontroles regulējums gala labuma guvējiem netiek piemērots."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23-TA-2977</w:t>
    </w:r>
    <w:r>
      <w:br/>
    </w:r>
    <w:r w:rsidR="00000000" w:rsidRPr="00000000" w:rsidDel="00000000">
      <w:rPr>
        <w:rtl w:val="0"/>
      </w:rPr>
      <w:t xml:space="preserve">Izdrukāts 29.07.2026. 23.27 - 1.0.VK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23-TA-2977</w:t>
    </w:r>
    <w:r>
      <w:br/>
    </w:r>
    <w:r w:rsidR="00000000" w:rsidRPr="00000000" w:rsidDel="00000000">
      <w:rPr>
        <w:rtl w:val="0"/>
      </w:rPr>
      <w:t xml:space="preserve">Izdrukāts 29.07.2026. 23.27 - 1.0.VK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noteikumu_(grozījumu)_projekts_23-TA-2977.docx</dc:title>
</cp:coreProperties>
</file>

<file path=docProps/custom.xml><?xml version="1.0" encoding="utf-8"?>
<Properties xmlns="http://schemas.openxmlformats.org/officeDocument/2006/custom-properties" xmlns:vt="http://schemas.openxmlformats.org/officeDocument/2006/docPropsVTypes"/>
</file>