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20.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5.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Būvspeciālistu uzraudzības un kompetences novērtēšanas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2047"/>
        <w:gridCol w:w="1377"/>
        <w:gridCol w:w="1377"/>
        <w:gridCol w:w="1377"/>
        <w:tblGridChange w:id="0">
          <w:tblGrid>
            <w:gridCol w:w="514"/>
            <w:gridCol w:w="2526"/>
            <w:gridCol w:w="2047"/>
            <w:gridCol w:w="1377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 vienā darbības sfērā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Kompetenču, prasmju un zināšanu līmeņa novērtēšana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persona, viens eksāmens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pilnveides pārbaude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persona, viens eksāmens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pilnveides pārbaude daļējā apjomā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persona, viens eksāmens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color w:val="#000000"/>
          <w:sz w:val="24"/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color w:val="#000000"/>
          <w:sz w:val="24"/>
          <w:rtl w:val="0"/>
        </w:rPr>
        <w:t xml:space="preserve"> Pievienotās vērtības nodokli nepiemēro saskaņā ar Pievienotās vērtības nodokļa likuma 3. panta astoto daļu."</w:t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24-TA-1117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24-TA-1117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noteikumu_(grozījumu)_projekts_p_24-TA-1117.docx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