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530 "Dzelzceļa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2. punktu un otrās daļas 3. punktu,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w:t>
      </w:r>
      <w:r w:rsidR="00000000" w:rsidRPr="00000000" w:rsidDel="00000000">
        <w:rPr>
          <w:rStyle w:val="paragraph"/>
          <w:i w:val="1"/>
          <w:rtl w:val="0"/>
        </w:rPr>
        <w:t xml:space="preserve">Dzelzceļa likuma</w:t>
      </w:r>
      <w:r w:rsidR="00000000" w:rsidRPr="00000000" w:rsidDel="00000000">
        <w:rPr>
          <w:rStyle w:val="paragraph"/>
          <w:i w:val="1"/>
          <w:rtl w:val="0"/>
        </w:rPr>
        <w:t xml:space="preserve"> 22.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530 "Dzelzceļa būvnoteikumi" (Latvijas Vēstnesis, 2014, 193. nr.; 2018, 191. nr.; 2019, 235. nr.; 2020, 136. nr.; 2021, 33., 237. nr.; 2022,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informāciju par būvniecības sasaisti ar atļaujas nodot ekspluatācijā stacionāro iekārtu procesu piemērošanu, ja to nosaka normatīvie akti par dzelzceļa savstarpējo izmantojamību."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procesu piemērošana atbilstoši normatīvajiem aktiem par dzelzceļa savstarpējo izmantojamību;".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ziņojumu (pierādījumus) par normatīvajos aktos par dzelzceļa savstarpējo izmantojamību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38.4.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Dzelzceļa infrastruktūras objekta būvdarbus, kas notiek blakus ekspluatācijā esošai dzelzceļa infrastruktūrai un ietekmē tās darbību, drīkst veikt būvkomersants, kas normatīvajos aktos noteiktajā kārtībā ir saņēmis drošības apliecību dzelzceļa infrastruktūras tehniskā aprīkojuma būvniecībai."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41.7.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"67.3. ziņojumu (pierādījumus) par normatīvajos aktos par dzelzceļa savstarpējo izmantojamību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Ja dzelzceļa infrastruktūras objekts ir ietverts stacionārajā iekārtā, uz kuru attiecas atļaujas nodot ekspluatācijā stacionāro iekārtu procedūra, tad pēc dzelzceļa infrastruktūras objekta nodošanas ekspluatācijā to izmanto atbilstoši atļaujas nodot ekspluatācijā stacionāro iekārtu procesu piemērošanas nosacījumiem. Stacionārā iekārta, kurā iekļaujas ekspluatācijā nodots dzelzceļa infrastruktūras objekts, ir uzskatāma par pieņemtu ekspluatācijā pēc normatīvajos aktos par dzelzceļa savstarpējo izmantojamību norādītās atļaujas nodot ekspluatācijā stacionārās iekārtas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87.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23-TA-2630</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23-TA-2630</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noteikumu_(grozījumu)_projekts_23-TA-2630.docx</dc:title>
</cp:coreProperties>
</file>

<file path=docProps/custom.xml><?xml version="1.0" encoding="utf-8"?>
<Properties xmlns="http://schemas.openxmlformats.org/officeDocument/2006/custom-properties" xmlns:vt="http://schemas.openxmlformats.org/officeDocument/2006/docPropsVTypes"/>
</file>