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Kredītiestāžu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Maksātnespējas likumā" (25-TA-1910), "Grozījumi likumā "Par darbinieku aizsardzību darba devēja maksātnespējas gadījumā"" (25-TA-2617), "Grozījumi Administratīvās atbildības likumā" (25-TA-2625), "Grozījums Kontu reģistra likumā" (25-TA-2629),"Grozījums Oficiālās elektroniskās adreses likumā" (25-TA-2638), "Grozījums likumā "Par Latvijas Republikas Uzņēmumu reģistru"" (25-TA-2671).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 "Grozījumi Maksātnespējas likumā" (25-TA-1910), "Grozījumi likumā "Par darbinieku aizsardzību darba devēja maksātnespējas gadījumā"" (25-TA-2617), "Grozījumi Administratīvās atbildības likumā" (25-TA-2625), "Grozījums Kontu reģistra likumā" (25-TA-2629),"Grozījums Oficiālās elektroniskās adreses likumā" (25-TA-2638), "Grozījums likumā "Par Latvijas Republikas Uzņēmumu reģistru"" (25-TA-2671) (likumprojektu pakete).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25-TA-2626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