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29. martā (prot. Nr. 18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3. aprīļa noteikumos Nr. 152 "Darbnespējas lapu izsniegšanas un anulēšanas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maternitātes un slimības apdrošināšanu</w:t>
      </w:r>
      <w:r w:rsidR="00000000" w:rsidRPr="00000000" w:rsidDel="00000000">
        <w:rPr>
          <w:rStyle w:val="paragraph"/>
          <w:i w:val="1"/>
          <w:rtl w:val="0"/>
        </w:rPr>
        <w:t xml:space="preserve">" 9. un 12.pantu, likuma </w:t>
      </w:r>
      <w:r>
        <w:br/>
      </w:r>
      <w:r w:rsidR="00000000" w:rsidRPr="00000000" w:rsidDel="00000000">
        <w:rPr>
          <w:rStyle w:val="paragraph"/>
          <w:i w:val="1"/>
          <w:rtl w:val="0"/>
        </w:rPr>
        <w:t xml:space="preserve">"Par obligāto sociālo apdrošināšanu pret nelaimes gadījumiem darbā un </w:t>
      </w:r>
      <w:r>
        <w:br/>
      </w:r>
      <w:r w:rsidR="00000000" w:rsidRPr="00000000" w:rsidDel="00000000">
        <w:rPr>
          <w:rStyle w:val="paragraph"/>
          <w:i w:val="1"/>
          <w:rtl w:val="0"/>
        </w:rPr>
        <w:t xml:space="preserve">arodslimībām" 19.panta pirmo daļu un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53.pantu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2001. gada 3. aprīļa noteikumos Nr. 152 "Darbnespējas lapu izsniegšanas un anulēšanas kārtība" (Latvijas Vēstnesis, 2001, 56. nr.; 2002, 64. nr.; 2003, 167. nr.; 2006, 190. nr.; 2008, 202. nr.; 2009, 118. nr.; 2010, 151. nr.; 2012, 35. nr.; 2013, 134. nr.; 2015, 247. nr.; 2016, 233. nr.; 2017, 171. nr.; 2020, 52., 108B., 173., 203A., 223A. nr.; 2021, 123A., 245.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darbnespēja saistīta ar šo noteikumu 3.1., 3.2., 3.3., 3.4., 3.5. un 3.6. apakšpunktā minētajiem nosacījumiem, izņemot gadījumus, ja darbnespējas cēlonis ir arodslimība, kas konstatēta pēc 1997. gada 1. janvāra, vai nelaimes gadījums darbā, personai par pirmajām deviņām darbnespējas dienām izsniedz darbnespējas lapu A. Ja darbnespējas cēlonis ir nelaimes gadījums darbā, darbnespējas lapu A personai izsniedz par pirmajām 10 darbnespējas 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šo noteikumu 3.1., 3.2., 3.3., 3.4., 3.5. un 3.6. apakšpunktā minētajos gadījumos darbnespēja turpinās ilgāk par deviņām dienām, sākot ar desmito darbnespējas dienu, bet ja darbnespējas cēlonis ir arodslimība, kas konstatēta pēc 1997. gada 1. janvāra, sākot ar pirmo darbnespējas dienu, personai izsniedz darbnespējas lapu B, izņemot nelaimes gadījumu darbā,  kad, darbnespējai turpinoties ilgāk par 10 darbnespējas dienām, personai izsniedz darbnespējas lapu B, sākot ar vienpadsmito darbnespējas dienu.";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Ārsts izsniedz darbnespējas lapu par visu darbnespējas periodu. Ārsta palīgs izsniedz darbnespējas lapu par pirmajām deviņām darbnespējas dienām. Ja darbnespējas cēlonis ir nelaimes gadījums darbā vai arodslimība, ārsta palīgs izsniedz darbnespējas lapu par pirmajām 10 darbnespējas 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13</w:t>
      </w:r>
      <w:r w:rsidR="00000000" w:rsidRPr="00000000" w:rsidDel="00000000">
        <w:rPr>
          <w:rtl w:val="0"/>
        </w:rPr>
        <w:t xml:space="preserve"> Ja saņemts pacienta iesniegums un Veselības inspekcijas rīcībā ir pierādījumi, kas apliecina darbnespējas lapas kļūdainu izsniegšanu, Veselības inspekcijai ir tiesības elektroniski anulēt līdz 2023. gada 31. decembrim izsniegtu darbnespējas lapu, tiešsaistes režīmā izdarot atzīmi veselības informācijas sistēmā,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13</w:t>
      </w:r>
      <w:r w:rsidR="00000000" w:rsidRPr="00000000" w:rsidDel="00000000">
        <w:rPr>
          <w:rtl w:val="0"/>
        </w:rPr>
        <w:t xml:space="preserve">1. apturēta ārstniecības iestādes darbība;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13</w:t>
      </w:r>
      <w:r w:rsidR="00000000" w:rsidRPr="00000000" w:rsidDel="00000000">
        <w:rPr>
          <w:rtl w:val="0"/>
        </w:rPr>
        <w:t xml:space="preserve">2. ārstniecības iestāde izslēgta no ārstniecības iestāžu reģistra;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13</w:t>
      </w:r>
      <w:r w:rsidR="00000000" w:rsidRPr="00000000" w:rsidDel="00000000">
        <w:rPr>
          <w:rtl w:val="0"/>
        </w:rPr>
        <w:t xml:space="preserve">3. ārstniecības persona, kura izsniegusi darbnespējas lapu, mirusi vai izbeigusi profesionālo darbību ārstniecības iestādē un tehnisku iemeslu dēļ darbnespējas lapu nevar anulēt šo noteikumu 12.1. apakšpunktā minētās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22-TA-404</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22-TA-404</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noteikumu_(grozījumu)_projekts_22-TA-404.docx</dc:title>
</cp:coreProperties>
</file>

<file path=docProps/custom.xml><?xml version="1.0" encoding="utf-8"?>
<Properties xmlns="http://schemas.openxmlformats.org/officeDocument/2006/custom-properties" xmlns:vt="http://schemas.openxmlformats.org/officeDocument/2006/docPropsVTypes"/>
</file>