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[23-TA-402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[23-TA-402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Vēža pacienta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deklarētās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miršanas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nāves pamatcēlonis;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 vitālais statuss.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Diagnostikas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diagnozes noteikšanas valsts*;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informācija par pacienta iekļaušanu zaļajā koridorā:</w:t>
      </w:r>
      <w:r w:rsidR="00000000" w:rsidRPr="00000000" w:rsidDel="00000000">
        <w:rPr>
          <w:vertAlign w:val="superscript"/>
          <w:rtl w:val="0"/>
        </w:rPr>
        <w:t xml:space="preserve"> 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2.2.1. datums, kad pirmreizēji norādīta pacientu grupa, un diagnoze (nosaukums un kods atbilstoši SSK-10);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2.2.2. primārās diagnostikas datums, manipulācijas nosaukums un kods (nosaukums un kods atbilstoši Nacionālā veselības dienesta Vadības informācijas sistēmas manipulāciju klasifikatoram);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2.2.3. sekundārās diagnostikas datums, manipulācijas nosaukums un kods (nosaukums un kods atbilstoši Nacionālā veselības dienesta Vadības informācijas sistēmas manipulāciju klasifikatoram);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informācija par pacienta iekļaušanu dzeltenajā koridorā:</w:t>
      </w:r>
      <w:r w:rsidR="00000000" w:rsidRPr="00000000" w:rsidDel="00000000">
        <w:rPr>
          <w:vertAlign w:val="superscript"/>
          <w:rtl w:val="0"/>
        </w:rPr>
        <w:t xml:space="preserve">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2.3.1. datums, kad pirmreizēji norādīta pacientu grupa, un diagnoze (nosaukums un kods atbilstoši SSK-10);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2.3.2. primārās diagnostikas datums, manipulācijas nosaukums un kods (nosaukums un kods atbilstoši Nacionālā veselības dienesta Vadības informācijas sistēmas manipulāciju klasifikatoram);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2.3.3. sekundārās diagnostikas datums, manipulācijas kods (nosaukums un kods atbilstoši Nacionālā veselības dienesta Vadības informācijas sistēmas manipulāciju klasifikatoram);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diagnozes atklāšanas 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pēdējais veiktais skrīnings;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2.5.1.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2.5.2. rezultāts.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Audzēja pamatdati: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diagnoze (nosaukums un kods atbilstoši SSK-10)*;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retā slimība (nosaukums un kods atbilstoši Orphanet reto slimību klasifikācijai)*;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bērnu vecumposma vēža diagnoze (nosaukums un kods atbilstoši Starptautiskajai bērnu vecumposma vēžu klasifikācijai </w:t>
      </w:r>
      <w:r w:rsidR="00000000" w:rsidRPr="00000000" w:rsidDel="00000000">
        <w:rPr>
          <w:sz w:val="20"/>
          <w:rtl w:val="0"/>
        </w:rPr>
        <w:t xml:space="preserve">2</w:t>
      </w:r>
      <w:r w:rsidR="00000000" w:rsidRPr="00000000" w:rsidDel="00000000">
        <w:rPr>
          <w:rtl w:val="0"/>
        </w:rPr>
        <w:t xml:space="preserve">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audzēja topogrāfija (nosaukums un kods atbilstoši Starptautiskās slimību klasifikācijas onkoloģijai versijai 3.2. (turpmāk - SSK-O-3.2.))*;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audzēja morfoloģija (nosaukums un kods atbilstoši SSK-O-3.2.)*;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audzēja diferenciācijas pakāpe (nosaukums un kods atbilstoši SSK-O-3.2.)*;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audzēja lokalizācija pāra orgāniem*;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 diagnozes noteikšanas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3.9. diagnozes pamatošanas veids*.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Audzēja dati: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TNM</w:t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klasifikācijas 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audzēja TNM – T vērtība (atbilstoši TNM klasifikācijai)*;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audzēja TNM – N vērtība (atbilstoši TNM klasifikācijai)*;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audzēja TNM – M vērtība (atbilstoši TNM klasifikācijai)*;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audzēja histoloģiskā pakāpe*;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 attālo metastāžu lokalizācija*;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 audzēja stadija atbilstoši TNM klasifikācijai*;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 audzēja stadija atbilstoši FIGO</w:t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klasifikācijai*;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4.9. audzēja stadija atbilstoši AnnArbor/ Lugano</w:t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klasifikācijai*;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4.10. hroniskas mieloleikozes fāze*;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4.11. rezekcijas līniju stāvoklis*;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4.12. Breslow</w:t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 metodes rādītājs*;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4.13. Clark</w:t>
      </w:r>
      <w:r w:rsidR="00000000" w:rsidRPr="00000000" w:rsidDel="00000000">
        <w:rPr>
          <w:vertAlign w:val="superscript"/>
          <w:rtl w:val="0"/>
        </w:rPr>
        <w:t xml:space="preserve">7 </w:t>
      </w:r>
      <w:r w:rsidR="00000000" w:rsidRPr="00000000" w:rsidDel="00000000">
        <w:rPr>
          <w:rtl w:val="0"/>
        </w:rPr>
        <w:t xml:space="preserve">metodes rādītājs*.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Slimības norises gaita: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slimības progresijas diagnosticēšanas 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lokāla recidīva diagnosticēšanas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attālo metastāžu diagnosticēšanas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attālo metastāžu lokalizācija*;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 slimības remisijas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5.6. papildu informācija*;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 noņemšanas no uzskaites: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5.7.1.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5.7.2. iemesls.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Vēža pacienta ārstēšana: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ārstniecības iestāde, kurā saņemta ārstēšana (iestādes nosaukums un kods Ārstniecības iestāžu reģistrā)*;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ārvalstu ārstniecības iestāde, kurā saņemta ārstēšana (iestādes nosaukums)*;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 ārstētā slimība*;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 ārstēšanas veids: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6.4.1. ķirurģiska ārstēšana: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6.4.1.1. operācijas 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6.4.1.2. operācijas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6.4.1.3. operācija (nosaukums un kods atbilstoši NOMESCO klasifikācijai)*;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6.4.1.4. norāde par pacienta turpmāko ārstēšanu/ novērošanu*;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6.4.2. staru 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6.4.2.1. staru terapijas 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6.4.2.2. staru terapijas apakšveids*;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6.4.2.3. staru terapijas metode*;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6.4.2.4. staru terapijas sākuma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6.4.2.5. staru terapijas beigu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6.4.2.6. kursā saņemto greju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6.4.2.7. kursā saņemto frakciju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6.4.2.8. norāde par turpmāko ārstēšanu/ novērošanu*;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6.4.3. ķīmijterapija: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6.4.3.1. ķīmijterapijas 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6.4.3.2. ķīmijterapijas līnija*;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6.4.3.3. zāļu vispārīgais nosaukums un anatomiski terapeitiski ķīmiskais kods (atbilstoši ATĶ</w:t>
      </w:r>
      <w:r w:rsidR="00000000" w:rsidRPr="00000000" w:rsidDel="00000000">
        <w:rPr>
          <w:vertAlign w:val="superscript"/>
          <w:rtl w:val="0"/>
        </w:rPr>
        <w:t xml:space="preserve">8</w:t>
      </w:r>
      <w:r w:rsidR="00000000" w:rsidRPr="00000000" w:rsidDel="00000000">
        <w:rPr>
          <w:rtl w:val="0"/>
        </w:rPr>
        <w:t xml:space="preserve"> klasifikācijai)*;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6.4.3.4. saņemto kursu skaits*;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6.4.3.5. ķīmijterapijas sākuma datuma*;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6.4.3.6. ķīmijterapijas beigu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6.4.3.7. norāde par pacienta turpmāko ārstēšanu/ novērošanu*;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6.4.4. endokrīnā 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6.4.4.1. endokrīnās terapijas 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6.4.4.2. endokrīnās terapijas līnija*;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6.4.4.3. zāļu vispārīgais nosaukums un anatomiski terapeitiski ķīmiskais kods (atbilstoši ATĶ klasifikācijai)*;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6.4.4.4. endokrīnās terapijas sākuma datuma*;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6.4.4.5. endokrīnās terapijas beigu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6.4.4.6. norāde par pacienta turpmāko ārstēšanu/ novērošanu*;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6.4.5. imūnterapija: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6.4.5.1. imūnterapijas 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6.4.5.2. imūnterapijas līnija*;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6.4.5.3. zāļu vispārīgais nosaukums un anatomiski terapeitiski ķīmiskais kods (atbilstoši ATĶ klasifikācijai)*;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6.4.5.4. imūnterapijas sākuma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6.4.5.5. imūnterapijas beigu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6.4.5.6. norāde par pacienta turpmāko ārstēšanu/ novērošanu*;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6.4.6. mērķterapija: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6.4.6.1. mērķterapijas 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6.4.6.2. mērķterapijas līnija*;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6.4.6.3. zāļu vispārīgais nosaukums un anatomiski terapeitiski ķīmiskais kods (atbilstoši ATĶ klasifikācijai)*;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6.4.6.4. mērķterapijas sākuma datuma*;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6.4.6.5. mērķterapijas beigu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6.4.6.6. norāde par pacienta turpmāko ārstēšanu/ novērošanu*;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6.4.7. perifēro asins cilmes šūnu transplantācija*;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6.4.7.1. transplantācijas 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6.4.7.2. donora 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6.4.7.3. transplantācijas datums*;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6.4.7.4. norāde par pacienta turpmāko ārstēšanu/ novērošanu*;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6.4.8. paliatīvā 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6.4.8.1. paliatīvās aprūpes uzsākšanas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molekulārā un citoģenētiskā izmeklēšana: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 parauga ņemšanas laiks*;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 izmeklējuma kods un nosaukums*;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 laboratorija, kurā veikts izmeklējums*;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 laboratoriskā izmeklējuma pārskata identifikācijas numurs*;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 laboratoriskā izmeklējuma izpildītāja kods no Ārstniecības iestāžu reģistra (ja izmeklējums veikts ārvalstīs, informāciju par laboratoriju ievada manuāli)*;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7.6. laboratoriskā izmeklējuma rezultāta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7.6.1. rādītājs*;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7.6.2. rezultāta vērtība*;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7.6.3. papildus informācija (ja nepieciešams)*.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Nacionālā veselības dienesta Vadības informācijas sistēmas dati (Ambulatorā pacienta talons).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vertAlign w:val="superscript"/>
          <w:rtl w:val="0"/>
        </w:rPr>
        <w:t xml:space="preserve"> </w:t>
      </w:r>
      <w:r w:rsidR="00000000" w:rsidRPr="00000000" w:rsidDel="00000000">
        <w:rPr>
          <w:rtl w:val="0"/>
        </w:rPr>
        <w:t xml:space="preserve">Bērnu vecumposma vēžu klasifikators (ICCC – International Classification of Childhood Cancer, IARC 2017.).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Ļaundabīgo audzēju TNM (Tumor, Node, Metastases) klasifikācija.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Starptautiskās dzemdību speciālistu un ginekologu asociācijas (International Federation of Obstetricians and Gynaecologists) klasifikācija.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Audzēja stadija pēc Limfātiskās sistēmas audzēju klasifikācijas tiek noteikta hematoloģisko limfoīdo vēžu -  Hodžkina vai ne-Hodžkina limfomu gadījumā.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Melanomas morfoloģiskais rādītājs un prognostiskais faktors – apraksta to, cik dziļi audzēja šūnas izplatījušās ādas slāņos.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Melanomas morfoloģiskais rādītājs un prognostiskais faktors - tiek izmantots melanomas diagnostikā, lai noteiktu audzēja infiltrācijas līmeni dermā un izvērtētu ietekmi uz slimības prognozi.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Anatomiski terapeitiski ķīmiskā klasifikācija (Anatomic Therapeutic Chemical).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Aizpilda ārstniecības iestāde."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