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359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2026. gada 30. jūnijā (prot. Nr. 35 1.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2023. gada 5. septembra noteikumos Nr. 509 "Eiropas Savienības kohēzijas politikas programmas 2021.–2027. gadam 4.3.4. specifiskā atbalsta mērķa "Sekmēt aktīvu iekļaušanu, lai veicinātu vienlīdzīgas iespējas, nediskriminēšanu un aktīvu līdzdalību, kā arī uzlabotu nodarbinātību, jo īpaši attiecībā uz nelabvēlīgā situācijā esošām grupām" 4.3.4.4. pasākuma "Sociālā dialoga attīstība, stiprinot sociālo partneru veiktspēju līdzdarboties likumdošanas, nacionālo reformu un koplīgumu slēgšanas pārrunu procesā"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Eiropas Savienības fondu 2021.–2027. gada plānošanas perioda vadības likuma</w:t>
      </w:r>
      <w:r w:rsidR="00000000" w:rsidRPr="00000000" w:rsidDel="00000000">
        <w:rPr>
          <w:rStyle w:val="paragraph"/>
          <w:i w:val="1"/>
          <w:rtl w:val="0"/>
        </w:rPr>
        <w:t xml:space="preserve"> </w:t>
      </w:r>
      <w:r w:rsidR="00000000" w:rsidRPr="00000000" w:rsidDel="00000000">
        <w:rPr>
          <w:rStyle w:val="paragraph"/>
          <w:i w:val="1"/>
          <w:rtl w:val="0"/>
        </w:rPr>
        <w:t xml:space="preserve">19. panta</w:t>
      </w:r>
      <w:r w:rsidR="00000000" w:rsidRPr="00000000" w:rsidDel="00000000">
        <w:rPr>
          <w:rStyle w:val="paragraph"/>
          <w:i w:val="1"/>
          <w:rtl w:val="0"/>
        </w:rPr>
        <w:t xml:space="preserve"> 6. un 13.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2023. gada 5. septembra noteikumos Nr. 509 "Eiropas Savienības kohēzijas politikas programmas 2021.–2027. gadam 4.3.4. specifiskā atbalsta mērķa "Sekmēt aktīvu iekļaušanu, lai veicinātu vienlīdzīgas iespējas, nediskriminēšanu un aktīvu līdzdalību, kā arī uzlabotu nodarbinātību, jo īpaši attiecībā uz nelabvēlīgā situācijā esošām grupām" 4.3.4.4. pasākuma "Sociālā dialoga attīstība, stiprinot sociālo partneru veiktspēju līdzdarboties likumdošanas, nacionālo reformu un koplīgumu slēgšanas pārrunu procesā" īstenošanas noteikumi" (Latvijas Vēstnesis, 2023, 177. nr.; 2024, 162.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Pasākuma ietvaros līdz 2029. gada 31. decembrim ir sasniedzami šādi rādītāji: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 iznākuma rādītājs – sociālo partneru skaits, kas saņēmuši atbalstu, – 2, tai skaitā līdz 2024. gada 31. decembrim – 2;</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 rezultāta rādītājs – atbalstīto sociālo partneru skaits, kas sniedz atzinumus/priekšlikumus likumdošanas procesā un Eiropas Semestra ietvaros, – 2."</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Pasākuma ietvaros kopējais pieejamais finansējums ir 1 704 369 </w:t>
      </w:r>
      <w:r w:rsidR="00000000" w:rsidRPr="00000000" w:rsidDel="00000000">
        <w:rPr>
          <w:i w:val="1"/>
          <w:rtl w:val="0"/>
        </w:rPr>
        <w:t xml:space="preserve">euro</w:t>
      </w:r>
      <w:r w:rsidR="00000000" w:rsidRPr="00000000" w:rsidDel="00000000">
        <w:rPr>
          <w:rtl w:val="0"/>
        </w:rPr>
        <w:t xml:space="preserve">, tai skaitā Eiropas Sociālā fonda Plus finansējums 1 448 713 </w:t>
      </w:r>
      <w:r w:rsidR="00000000" w:rsidRPr="00000000" w:rsidDel="00000000">
        <w:rPr>
          <w:i w:val="1"/>
          <w:rtl w:val="0"/>
        </w:rPr>
        <w:t xml:space="preserve">euro </w:t>
      </w:r>
      <w:r w:rsidR="00000000" w:rsidRPr="00000000" w:rsidDel="00000000">
        <w:rPr>
          <w:rtl w:val="0"/>
        </w:rPr>
        <w:t xml:space="preserve">un valsts budžeta līdzfinansējums 255 656 </w:t>
      </w:r>
      <w:r w:rsidR="00000000" w:rsidRPr="00000000" w:rsidDel="00000000">
        <w:rPr>
          <w:i w:val="1"/>
          <w:rtl w:val="0"/>
        </w:rPr>
        <w:t xml:space="preserve">euro</w:t>
      </w:r>
      <w:r w:rsidR="00000000" w:rsidRPr="00000000" w:rsidDel="00000000">
        <w:rPr>
          <w:rtl w:val="0"/>
        </w:rPr>
        <w:t xml:space="preserve">. Maksimālais Eiropas Sociālā fonda Plus finansējuma apmērs nepārsniedz 85 procentus no projekta kopējā attiecināmā finansējuma."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 Katram šo noteikumu 10. punktā minētajam projekta iesniedzējam ir pieejami ne vairāk kā 50 procenti no šo noteikumu 6. punktā minētā finansējuma apmēra."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Svītrot 8.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22.3.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"22.3. ievieto savā tīmekļvietnē aktuālo informāciju par projekta īstenošanu;".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22.9.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"22.9. nodrošina interešu konflikta neesību."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23.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 Pasākuma ietvaros projektu īsteno saskaņā ar līgumu par projekta īstenošanu, bet ne ilgāk kā līdz 2029. gada 31. decembrim."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Kulbergs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prezidenta vietā - labklājības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 Uzulnieks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26-TA-546</w:t>
    </w:r>
    <w:r>
      <w:br/>
    </w:r>
    <w:r w:rsidR="00000000" w:rsidRPr="00000000" w:rsidDel="00000000">
      <w:rPr>
        <w:rtl w:val="0"/>
      </w:rPr>
      <w:t xml:space="preserve">Izdrukāts 29.07.2026. 22.58 - 1.0.VK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26-TA-546</w:t>
    </w:r>
    <w:r>
      <w:br/>
    </w:r>
    <w:r w:rsidR="00000000" w:rsidRPr="00000000" w:rsidDel="00000000">
      <w:rPr>
        <w:rtl w:val="0"/>
      </w:rPr>
      <w:t xml:space="preserve">Izdrukāts 29.07.2026. 22.58 - 1.0.VK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noteikumu_(grozījumu)_projekts_26-TA-546.docx</dc:title>
</cp:coreProperties>
</file>

<file path=docProps/custom.xml><?xml version="1.0" encoding="utf-8"?>
<Properties xmlns="http://schemas.openxmlformats.org/officeDocument/2006/custom-properties" xmlns:vt="http://schemas.openxmlformats.org/officeDocument/2006/docPropsVTypes"/>
</file>