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novembrī (prot. Nr. 47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11. panta pirmo daļu atļaut Finanšu ministrijai (Valsts ieņēmumu dienestam) nodot Ukrainai (Ukrainas Aizsardzības ministrijas armijas daļām, Žitomiras apgabala Radomišlas pilsētas domei, Ivanofrankivskas apgabala Dolinas pilsētas domes Kultūras departamentam, Mikolajivas apgabala Pervomaiskas rajona Arbuzinas ciema padomei, Ivanofrankivskas apgabala Ivanofrankivskas rajona Tlumačas pilsētas domes Izglītības, kultūras, jaunatnes politikas un sporta departamentam, Ivanofrankivskas apgabala Ivanofrankivskas rajona Tlumačas pilsētas domei, Ivana Kožeduba vārdā nosauktajai Harkivas Nacionālajai gaisa spēku universitātei)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24-TA-2617</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24-TA-2617</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rīkojuma_projekts_24-TA-2617.docx</dc:title>
</cp:coreProperties>
</file>

<file path=docProps/custom.xml><?xml version="1.0" encoding="utf-8"?>
<Properties xmlns="http://schemas.openxmlformats.org/officeDocument/2006/custom-properties" xmlns:vt="http://schemas.openxmlformats.org/officeDocument/2006/docPropsVTypes"/>
</file>