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8.5.2. specifiskā atbalsta mērķa "Nodrošināt profesionālās izglītības atbilstību Eiropas kvalifikācijas ietvarstruktūrai"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8.5.2. specifisko atbalsta mērķi "Nodrošināt profesionālās izglītības atbilstību Eiropas kvalifikācijas ietvarstruktūrai"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(turpmāk – vienošanās)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mērķis ir pilnveidot profesionālās izglītības saturu un saskaņā ar Latvijas kvalifikācijas ietvarstruktūru aktualizēt un izstrādāt profesiju standartus un profesionālās kvalifikācijas prasības, kā arī izstrādāt profesionālās kvalifikācijas eksāmenu saturu, ieviešot izglītības programmu modulāro pieeju un nodrošinot nepieciešamos mācību līdzekļus programmu kvalitatīvai īstenošanai, lai tādā veidā pilnveidotu nozaru kvalifikācijas sistēmu.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grupa ir valsts pārvaldes iestādes, kas atbildīgas par izglītības satura izstrādi un pārraudzību, kā arī profesionālās izglītības iestādes un koledžas, kuras īsteno sākotnējās profesionālās izglītības programmas.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pieejamais kopējais attiecināmais finansējums ir 12 572 584 </w:t>
      </w:r>
      <w:r w:rsidR="00000000" w:rsidRPr="00000000" w:rsidDel="00000000">
        <w:rPr>
          <w:i w:val="1"/>
          <w:rtl w:val="0"/>
        </w:rPr>
        <w:t xml:space="preserve">euro</w:t>
      </w:r>
      <w:r w:rsidR="00000000" w:rsidRPr="00000000" w:rsidDel="00000000">
        <w:rPr>
          <w:rtl w:val="0"/>
        </w:rPr>
        <w:t xml:space="preserve">, tai skaitā Eiropas Sociālā fonda finansējums – 10 686 696 </w:t>
      </w:r>
      <w:r w:rsidR="00000000" w:rsidRPr="00000000" w:rsidDel="00000000">
        <w:rPr>
          <w:i w:val="1"/>
          <w:rtl w:val="0"/>
        </w:rPr>
        <w:t xml:space="preserve">euro</w:t>
      </w:r>
      <w:r w:rsidR="00000000" w:rsidRPr="00000000" w:rsidDel="00000000">
        <w:rPr>
          <w:rtl w:val="0"/>
        </w:rPr>
        <w:t xml:space="preserve"> un valsts budžeta līdzfinansējums – 1 885 888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25.02.2020. noteikumiem Nr. 110)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ietvaros izmaksas ir attiecināmas, ja tās atbilst šajos noteikumos minētajām izmaksu pozīcijām un ir radušās ar šo noteikumu spēkā stāšanās dienu.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25.02.2020. noteikumiem Nr. 110)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Specifiskā atbalsta mērķi sasniedz, īstenojot šo noteikumu </w:t>
      </w:r>
      <w:r w:rsidR="00000000" w:rsidRPr="00000000" w:rsidDel="00000000">
        <w:rPr>
          <w:rtl w:val="0"/>
        </w:rPr>
        <w:t xml:space="preserve">20.</w:t>
      </w:r>
      <w:r w:rsidR="00000000" w:rsidRPr="00000000" w:rsidDel="00000000">
        <w:rPr>
          <w:rtl w:val="0"/>
        </w:rPr>
        <w:t xml:space="preserve"> punktā minētās atbalstāmās darbības un līdz 2022.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profesiju standartu un profesionālās kvalifikācijas pamatprasību skaits, kuru izstrādei piešķirts Eiropas Sociālā fonda atbalsts, – 200, tai skaitā 90 līdz 2018.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modulāro profesionālās izglītības programmu skaits, kuru izstrādei piešķirts Eiropas Sociālā fonda atbalsts, – 184, tai skaitā 10 līdz 2018.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 – atbalstīto un apstiprināto profesiju standartu un profesionālās kvalifikācijas pamatprasību skaits – 200, tai skaitā 90 līdz 2018.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rādītāju – līdz 2018. gada 31. decembrim sertificēti izdevumi 5 821 430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Specifisko atbalstu īsteno vienā projektu iesniegumu atlases kārtā par visu specifiskajam atbalstam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Specifiskā atbalsta īstenošanā atbildīgās iestādes funkcijas pilda Izglītības un zinātnes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specifiskā atbalsta ietvaros ir valsts pārvaldes iestāde, kas ir atbildīga par izglītības satura izstrādi un pārraudzību – Valsts izglītības satura centrs, kas pēc tam, kad ir noslēgta vienošanās, ir arī Eiropas Sociālā fonda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projekta iesniegumā iekļauj informāciju par projekta iekšējo vadības un kontroles sistēmu, lai nodrošinātu sekmīgu projekta īstenošanu, mērķu sasniegšanu un projektam piešķirto līdzekļu lietderīgu un efektīvu izlietošanu, tai skaitā paredzot to funkciju nodalīšanu no iestādes pamatfunkciju izpildes, kuras finansējuma saņēmējs pilda projekta īstenošanā, un sadarbības regulējumu ar šo noteikumu </w:t>
      </w:r>
      <w:r w:rsidR="00000000" w:rsidRPr="00000000" w:rsidDel="00000000">
        <w:rPr>
          <w:rtl w:val="0"/>
        </w:rPr>
        <w:t xml:space="preserve">15.</w:t>
      </w:r>
      <w:r w:rsidR="00000000" w:rsidRPr="00000000" w:rsidDel="00000000">
        <w:rPr>
          <w:rtl w:val="0"/>
        </w:rPr>
        <w:t xml:space="preserve"> punktā minētajiem sadarbības partneriem, kā arī aprakstot, kādas darbības un uzraudzības instrumenti ir plānoti vai ieviesti projekta iesniedzēja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to uzskaites nodalīšana katra sadarbības partnera grāmatvedības uzskaitē un finanšu pārskatu ticamības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sadarbības partneru līdzdalība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projektu īsteno kopīgi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Darba devēju konfederāciju (turpmāk – LDDK) šo noteikumu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20.8.</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Brīvo arodbiedrību savienību (turpmāk – LBAS) šo noteikumu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20.8.</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Lauksaimnieku organizāciju sadarbības padomi (turpmāk – LOSP) šo noteikumu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20.8.</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kvalitātes valsts dienestu šo noteikumu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20.5.</w:t>
      </w:r>
      <w:r w:rsidR="00000000" w:rsidRPr="00000000" w:rsidDel="00000000">
        <w:rPr>
          <w:rtl w:val="0"/>
        </w:rPr>
        <w:t xml:space="preserve"> apakšpunktā minēto atbalstāmo darbību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iesniedzējam ir pienākums projekta iesniegumā pamatot sadarbības partneru izvēli, norādot konkrēto sadarbības partneru iesaistes mehānismu, nepieciešamību un to kompetences atbilstību plānotajām atbalstāmajām darbībām, kā arī ar katru sadarbības partneri noslēgt sadarbības līgumu atbalstāmo darbību īstenošanā. Sadarbības līgumā iekļauj informāciju saskaņā ar normatīvo aktu par kārtību, kādā Eiropas Savienības struktūrfondu un Kohēzijas fondu vadībā iesaistītās institūcijas nodrošina plānošanas dokumentu sagatavošanu un šo fondu ieviešanu 2014.–2020. gada plānošanas periodā, un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no sadarbības partnera atgūst neatbilstoši veiktos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20.</w:t>
      </w:r>
      <w:r w:rsidR="00000000" w:rsidRPr="00000000" w:rsidDel="00000000">
        <w:rPr>
          <w:rtl w:val="0"/>
        </w:rPr>
        <w:t xml:space="preserve"> punktā minēto atbalstāmo darbību īstenošanai un tiešo un netiešo attiecināmo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īstenojamās atbalstāmās darbības un to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pirms sadarbības līguma noslēgšanas ar sadarbības partneriem attiecīgo sadarbības līguma projektu saskaņo ar Izglītības un zinātnes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sagatavo un uzaicinājumā noteiktajā termiņā iesniedz sadarbības iestādē projekta iesniegumu atbilstoši specifiskā atbalsta projektu iesniegumu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partnera īstenotajām funkcijām projektā, tai skaitā novēršot dubultā finansējuma risku.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Specifiskā atbalsta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nozaru kvalifikāciju sistēmas pilnveide, veicot nozaru izpēti un pilnveidojot struktūru;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profesiju standartu un profesionālās kvalifikācijas prasību izstrāde, lai nodrošinātu vienoto Eiropas profesionālās izglītības kvalitātes rādītāju ieviešanu un atzīšanu;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kvalifikācijas eksāmenu satura un sasniedzamo rezultātu novērtēšanas metodikas izstrāde atbilstoši Latvijas kvalifikācijas ietvarstruktūrai, Eiropas kredītpunktu sistēmai profesionālās izglītības jomā (ECVET) un Eiropas kvalitātes nodrošināšanas pamatprincipu ietvarstruktūrai profesionālajā izglītībā (EQAVET);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modulāro profesionālās izglītības programmu izstrāde un ieviešana, tai skaitā to atbilstības Latvijas kvalifikācijas ietvarstruktūrai un Eiropas kvalitātes nodrošināšanas pamatprincipu ietvarstruktūrai izvērtēšana, atbalstot mūžizglītības un profesionālo kompetenču programmu nodrošināšanu, katrā modulārajā profesionālās izglītības programmā iekļaujot komponentes "iniciatīva un uzņēmējdarbība", "sabiedrības un cilvēka drošība", "informācijas un komunikācijas tehnoloģijas", "sociālās un pilsoniskās prasmes", "valodas, kultūras izpratne un izpausme" vai integrējot tās profesionālās izglītības saturā;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mācību līdzekļu (tai skaitā digitālo mācību līdzekļu) un metodisko materiālu, kā arī novērtēšanas materiālu un darba vidē balstītas profesionālās izglītības ieviešanai nepieciešamo mācību līdzekļu izstrāde, iegāde un publiskošana un atbilstības Latvijas kvalifikācijas ietvarstruktūrai izvērtēšana, kā arī simulācijas iekārtu (informācijas tehnoloģiju programmas, speciāli aprīkotas iekārtas reālas darbības aizstāšanai, atspoguļojot galvenās īpašības vai uzvedību izvēlētai fiziskai vai abstraktai sistēmai vai procesam)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projekta īstenošanu un publicitātes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ekspertīzes nodrošināšana šo noteikumu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20.5.</w:t>
      </w:r>
      <w:r w:rsidR="00000000" w:rsidRPr="00000000" w:rsidDel="00000000">
        <w:rPr>
          <w:rtl w:val="0"/>
        </w:rPr>
        <w:t xml:space="preserve"> apakšpunktā minētajiem materiāliem.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Specifiskā atbalsta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neparedzētie izdevumi.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atbilstoši Valsts un pašvaldību institūciju amatpersonu un darbinieku atlīdzības likumam šo noteikumu </w:t>
      </w:r>
      <w:r w:rsidR="00000000" w:rsidRPr="00000000" w:rsidDel="00000000">
        <w:rPr>
          <w:rtl w:val="0"/>
        </w:rPr>
        <w:t xml:space="preserve">20.6.</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īstenošanai.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atbilstoši Valsts un pašvaldību institūciju amatpersonu un darbinieku atlīdzības likumam šo noteikumu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un </w:t>
      </w:r>
      <w:r w:rsidR="00000000" w:rsidRPr="00000000" w:rsidDel="00000000">
        <w:rPr>
          <w:rtl w:val="0"/>
        </w:rPr>
        <w:t xml:space="preserve">20.8.</w:t>
      </w:r>
      <w:r w:rsidR="00000000" w:rsidRPr="00000000" w:rsidDel="00000000">
        <w:rPr>
          <w:rtl w:val="0"/>
        </w:rPr>
        <w:t xml:space="preserve"> apakšpunktā minēto atbalstāmo darbību īstenošanai, tostarp ievērojot šādus nosacījumus: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personāla iesaiste projektā ir nodrošināta saskaņā ar daļlaika attiecināmības principu, attiecināma ir ne mazāka kā 30 procentu noslodze;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LDDK, LBAS un LOSP par projekta īstenošanas personāla atlīdzības izmaksām šo noteikumu </w:t>
      </w:r>
      <w:r w:rsidR="00000000" w:rsidRPr="00000000" w:rsidDel="00000000">
        <w:rPr>
          <w:rtl w:val="0"/>
        </w:rPr>
        <w:t xml:space="preserve">20.2.</w:t>
      </w:r>
      <w:r w:rsidR="00000000" w:rsidRPr="00000000" w:rsidDel="00000000">
        <w:rPr>
          <w:rtl w:val="0"/>
        </w:rPr>
        <w:t xml:space="preserve"> apakšpunktā minēto atbalstāmo darbību īstenošanai atbilstoši vadošās iestādes saskaņotai vienas vienības izmaksu metodikai;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kompensācija LDDK, LBAS un LOSP par projekta īstenošanas personāla atlīdzības izmaksām šo noteikumu </w:t>
      </w:r>
      <w:r w:rsidR="00000000" w:rsidRPr="00000000" w:rsidDel="00000000">
        <w:rPr>
          <w:rtl w:val="0"/>
        </w:rPr>
        <w:t xml:space="preserve">20.8.</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jaunradītu darba vietu vai esošo darba vietu atjaunošanai nepieciešamā aprīkojuma (biroja mēbeles un tehnika, datorprogrammas un licences) iegādes vai īres izmaksas šo noteikumu </w:t>
      </w:r>
      <w:r w:rsidR="00000000" w:rsidRPr="00000000" w:rsidDel="00000000">
        <w:rPr>
          <w:rtl w:val="0"/>
        </w:rPr>
        <w:t xml:space="preserve">20.6.</w:t>
      </w:r>
      <w:r w:rsidR="00000000" w:rsidRPr="00000000" w:rsidDel="00000000">
        <w:rPr>
          <w:rtl w:val="0"/>
        </w:rPr>
        <w:t xml:space="preserve"> apakšpunktā minētās atbalstāmās darbības īstenošanai. Darba vietu aprīkojuma iegādes vai īres izmaksas, tai skaitā aprīkojuma uzturēšanas un remonta izmaksas, attiecināmas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un īstenošanas personāls ir nodarbināts normālo darba laiku, darba vietas aprīkojuma iegādes izmaksas ir attiecināmas 100 procentu apmērā; ja projekta vadības un īstenošanas personāls ir nodarbināts nepilnu darba laiku vai daļlaiku, darba vietas aprīkojuma iegādes izmaksas ir attiecināmas proporcionāli slodzes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dienesta braucienu izmaksas finansējuma saņēmēja projektu vadības un īstenošanas personālam atbilstoši normatīvajiem aktiem, kas nosaka kārtību, kādā atlīdzināmi ar komandējumiem saistītie izdevumi šo noteikumu </w:t>
      </w:r>
      <w:r w:rsidR="00000000" w:rsidRPr="00000000" w:rsidDel="00000000">
        <w:rPr>
          <w:rtl w:val="0"/>
        </w:rPr>
        <w:t xml:space="preserve">20.6.</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(degvielas, transportlīdzekļa nomas, transporta pakalpojumu pirkšanas, sabiedriskā transporta izmantošanas izmaksas) finansējuma saņēmēja projektu vadības un īstenošanas personālam šo noteikumu </w:t>
      </w:r>
      <w:r w:rsidR="00000000" w:rsidRPr="00000000" w:rsidDel="00000000">
        <w:rPr>
          <w:rtl w:val="0"/>
        </w:rPr>
        <w:t xml:space="preserve">20.6.</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obligāto veselības pārbaužu izmaksas un speciālo medicīnisko optisko redzes korekcijas līdzekļu (briļļu) kompensācijas izmaksas finansējuma saņēmēja projektu vadības un īstenošanas personālam šo noteikumu </w:t>
      </w:r>
      <w:r w:rsidR="00000000" w:rsidRPr="00000000" w:rsidDel="00000000">
        <w:rPr>
          <w:rtl w:val="0"/>
        </w:rPr>
        <w:t xml:space="preserve">20.6.</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apdrošināšanas izmaksas finansējuma saņēmēja projektu vadības un īstenošanas personālam šo noteikumu </w:t>
      </w:r>
      <w:r w:rsidR="00000000" w:rsidRPr="00000000" w:rsidDel="00000000">
        <w:rPr>
          <w:rtl w:val="0"/>
        </w:rPr>
        <w:t xml:space="preserve">20.6.</w:t>
      </w:r>
      <w:r w:rsidR="00000000" w:rsidRPr="00000000" w:rsidDel="00000000">
        <w:rPr>
          <w:rtl w:val="0"/>
        </w:rPr>
        <w:t xml:space="preserve"> apakšpunktā minētās atbalstāmās darbības īstenošanai, ja veselības apdrošināšana paredzēta finansējuma saņēmēja iestādē. Ja projekta vadības un īstenošanas personāls ir nodarbināts normālu darba laiku, veselības apdrošināšanas izmaksas ir attiecināmas 100 procentu apmērā. Ja projekta vadības un īstenošanas personāls ir nodarbināts nepilnu darba laiku, veselības apdrošināšanas izmaksas nosakāmas atbilstoši nepilnā darba laika noslodzei. Ja projekta vadības un īstenošanas personāla atlīdzībai piemēro daļlaika attiecināmības principu, veselības apdrošināšanas izmaksas nosakāmas atbilstoši daļlaika noslodzei. Veselības apdrošināšanas izmaksas ir attiecināmas tikai periodā, kad projekta vadības un īstenošanas personāls ir nodarbināts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semināru, darba grupu un konferenču organizēšanai un īstenošanai, tai skaitā telpu īres maksa (ja projekta aktivitāšu īstenošanai nepieciešams īrēt telpas ārpus finansējuma saņēmēja vai projekta īstenošanas sadarbības partnera juridiskās un faktiskās uzturēšanās adreses) un datortehnikas nomas izmaksas šo noteikumu </w:t>
      </w:r>
      <w:r w:rsidR="00000000" w:rsidRPr="00000000" w:rsidDel="00000000">
        <w:rPr>
          <w:rtl w:val="0"/>
        </w:rPr>
        <w:t xml:space="preserve">20.2.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pakalpojuma (uzņēmuma) līguma izmaksas šo noteikumu 20.1., 20.3., 20.4. un </w:t>
      </w:r>
      <w:r w:rsidR="00000000" w:rsidRPr="00000000" w:rsidDel="00000000">
        <w:rPr>
          <w:rtl w:val="0"/>
        </w:rPr>
        <w:t xml:space="preserve">20.5.</w:t>
      </w:r>
      <w:r w:rsidR="00000000" w:rsidRPr="00000000" w:rsidDel="00000000">
        <w:rPr>
          <w:rtl w:val="0"/>
        </w:rPr>
        <w:t xml:space="preserve"> apakšpunktā minēto atbalstāmo darbību īstenošanai un piegādes līguma izmaksas šo noteikumu </w:t>
      </w:r>
      <w:r w:rsidR="00000000" w:rsidRPr="00000000" w:rsidDel="00000000">
        <w:rPr>
          <w:rtl w:val="0"/>
        </w:rPr>
        <w:t xml:space="preserve">20.5.</w:t>
      </w:r>
      <w:r w:rsidR="00000000" w:rsidRPr="00000000" w:rsidDel="00000000">
        <w:rPr>
          <w:rtl w:val="0"/>
        </w:rPr>
        <w:t xml:space="preserve"> apakšpunktā minēto mācību līdzekļu (tai skaitā digitālo mācību līdzekļu, metodisko materiālu un simulācijas iekārtu) piegādei. Pakalpojuma (uzņēmuma) līguma izmaksas nevar ietvert to atbalstāmo darbību īstenošanas izmaksas, kuras šo noteikumu </w:t>
      </w:r>
      <w:r w:rsidR="00000000" w:rsidRPr="00000000" w:rsidDel="00000000">
        <w:rPr>
          <w:rtl w:val="0"/>
        </w:rPr>
        <w:t xml:space="preserve">15.4.</w:t>
      </w:r>
      <w:r w:rsidR="00000000" w:rsidRPr="00000000" w:rsidDel="00000000">
        <w:rPr>
          <w:rtl w:val="0"/>
        </w:rPr>
        <w:t xml:space="preserve"> apakšpunktā minētais sadarbības partneris veic šo noteikumu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20.5.</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tulkošanas izmaksas, kas ir pamatotas un saistītas ar mācību līdzekļu (tai skaitā digitālo mācību līdzekļu) izstrādi šo noteikumu </w:t>
      </w:r>
      <w:r w:rsidR="00000000" w:rsidRPr="00000000" w:rsidDel="00000000">
        <w:rPr>
          <w:rtl w:val="0"/>
        </w:rPr>
        <w:t xml:space="preserve">20.5.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 šo noteikumu </w:t>
      </w:r>
      <w:r w:rsidR="00000000" w:rsidRPr="00000000" w:rsidDel="00000000">
        <w:rPr>
          <w:rtl w:val="0"/>
        </w:rPr>
        <w:t xml:space="preserve">20.7.</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slēdzot pakalpojuma (uzņēmuma) līgumu, attiecināmas ir arī darba devēja valsts sociālās apdrošināšanas obligāto iemaksu izmaksas, ja pakalpojuma sniedzējs ir fiziska persona un tā nav reģistrējusies Valsts ieņēmumu dienestā kā pašnodarbināta 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apakšpunktā minētās netiešās attiecināmās izmaksas finansējuma saņēmējam un sadarbības partnerim projektā plāno kā vienu izmaksu pozīciju, piemērojot netiešo izmaksu vienoto likmi 15 procentu apmērā no šo noteikumu </w:t>
      </w:r>
      <w:r w:rsidR="00000000" w:rsidRPr="00000000" w:rsidDel="00000000">
        <w:rPr>
          <w:rtl w:val="0"/>
        </w:rPr>
        <w:t xml:space="preserve">22.1.1.</w:t>
      </w:r>
      <w:r w:rsidR="00000000" w:rsidRPr="00000000" w:rsidDel="00000000">
        <w:rPr>
          <w:rtl w:val="0"/>
        </w:rPr>
        <w:t xml:space="preserve"> un </w:t>
      </w:r>
      <w:r w:rsidR="00000000" w:rsidRPr="00000000" w:rsidDel="00000000">
        <w:rPr>
          <w:rtl w:val="0"/>
        </w:rPr>
        <w:t xml:space="preserve">22.1.2.</w:t>
      </w:r>
      <w:r w:rsidR="00000000" w:rsidRPr="00000000" w:rsidDel="00000000">
        <w:rPr>
          <w:rtl w:val="0"/>
        </w:rPr>
        <w:t xml:space="preserve"> apakšpunktā minētajām tiešajām attiecināmajām personāla atlīdzības izmaksām, kas veiktas, pamatojoties uz darba līgumu vai rīkojumu par iecelšanu amatā. Netiešo izmaksu vienotās likmes aprēķinā netiek iekļautas šo noteikumu </w:t>
      </w:r>
      <w:r w:rsidR="00000000" w:rsidRPr="00000000" w:rsidDel="00000000">
        <w:rPr>
          <w:rtl w:val="0"/>
        </w:rPr>
        <w:t xml:space="preserve">22.1.2.2.</w:t>
      </w:r>
      <w:r w:rsidR="00000000" w:rsidRPr="00000000" w:rsidDel="00000000">
        <w:rPr>
          <w:rtl w:val="0"/>
        </w:rPr>
        <w:t xml:space="preserve"> apakšpunktā minētās sadarbības partneru projekta īstenošanas personāla atlīdzības izmaksas, kuras ir noteiktas, piemērojot vienas vienības izmaksu metodi.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21.3.</w:t>
      </w:r>
      <w:r w:rsidR="00000000" w:rsidRPr="00000000" w:rsidDel="00000000">
        <w:rPr>
          <w:rtl w:val="0"/>
        </w:rPr>
        <w:t xml:space="preserve"> apakšpunktā minētos neparedzētos izdevumus (izdevumi papildu darbu veikšanai vai pakalpojumu sniegšanai, kas neparedzamu apstākļu dēļ ir kļuvuši nepieciešami noslēgtās vienošanās izpildes nodrošināšanai) projektā plāno kā vienu izdevumu pozīciju, un tie nepārsniedz divus procentus no projekta tiešajām attiecināmajām izmaksām. Neparedzēto izdevumu izlietošanu finansējuma saņēmējs saskaņo ar sadarbības iestādi kārtībā, ko nosaka vienošanās.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22.1.1.</w:t>
      </w:r>
      <w:r w:rsidR="00000000" w:rsidRPr="00000000" w:rsidDel="00000000">
        <w:rPr>
          <w:rtl w:val="0"/>
        </w:rPr>
        <w:t xml:space="preserve"> un </w:t>
      </w:r>
      <w:r w:rsidR="00000000" w:rsidRPr="00000000" w:rsidDel="00000000">
        <w:rPr>
          <w:rtl w:val="0"/>
        </w:rPr>
        <w:t xml:space="preserve">22.1.2.</w:t>
      </w:r>
      <w:r w:rsidR="00000000" w:rsidRPr="00000000" w:rsidDel="00000000">
        <w:rPr>
          <w:rtl w:val="0"/>
        </w:rPr>
        <w:t xml:space="preserve"> apakšpunktā minētās izmaksas, kas pamatotas ar darba līgumu un rīkojumu par pretendenta iecelšanu ierēdņa amatā, finansējuma saņēmējs nodrošina, ka projekta vadības personāls un projekta īstenošanas personāls tiek piesaistīts uz normālu darba laiku vai nepilnu darba laiku vai daļlaiku ne mazāk kā 30 procentu apmērā no normālā darba laika. Ja personāla atlīdzībai piemēro daļlaika attiecināmības principu, veic personāla darba laika uzskaiti par nostrādāto laiku un veiktajām funkcijām.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Pievienotās vērtības nodoklis ir attiecināmās izmaksas, ja tas nav atgūstams atbilstoši Latvijas Republikas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Specifiskā atbalsta īstenošanas nosacījumi un vienošanās vienpusēja uzteikuma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projekta īstenošanu var uzsākt ar šo noteikumu spēkā stāšanās dienu, bet ne vēlāk kā mēnesi pēc vienošanās noslēgšanas dienas. Projektu īsteno līdz 2022. gada 31. decembrim. 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Specifiskā atbalsta īstenošanas uzraudzībai Izglītības un zinātnes ministrija izveido projekta uzraudzības padomi, kurā ar balsstiesībām uzaicina Labklājības ministrijas, Ekonomikas ministrijas, Zemkopības ministrijas, Kultūras ministrijas un Veselības ministrijas pārstāvjus, bet ar padomdevēja tiesībām – Latvijas Pašvaldību savienības, Latvijas Lielo pilsētu asociācijas, Latvijas Amatniecības kameras, Akadēmiskās informācijas centra, Latvijas Tirdzniecības un rūpniecības kameras pārstāvjus. Projekta uzraudzības padomes sastāvā novērotāju statusā var iekļaut Finanšu ministrijas un Centrālās finanšu un līgumu aģentūras pārstāvjus. Projekta uzraudzības padome darbojas saskaņā ar Izglītības un zinātnes ministrijas apstiprinātu nolikumu, un to sasauc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veicinātu horizontālā principa "Vienlīdzīgas iespējas" ieviešanu, metodisko materiālu un mācību līdzekļu (tai skaitā digitālo mācību līdzekļu) izstrādē tiks integrēti vienlīdzīgu iespēju jautājumi neatkarīgi no dzimuma, vecuma, invaliditātes, etniskās piederības un citiem iespējamiem diskriminācijas veidiem, īpaši attiecībā uz profesionālās studiju jomas vai profesijas izvēli, tādā veidā mazinot darba tirgus segregāciju pēc dzimuma.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izstrādājot modulārās profesionālās izglītības programmas, paredz: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saturā iekļaut vai integrēt komponentes "iniciatīva un uzņēmējdarbība", "sabiedrības un cilvēka drošība", "informācijas un komunikācijas tehnoloģijas", "sociālās un pilsoniskās prasmes" un "valodas, kultūras izpratne un izpausme";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ieviešanā iekļaujošās izglītības principu, kas nosaka vienlīdzīgu iespēju ievērošanu neatkarīgi no izglītojamo vajadzībām un spējām, mantiskā, sociālā stāvokļa, rases, tautības, dzimuma, reliģijas vai politiskās pārliecības, dzīvesvietas un nodarbošanās pieejamā, cienīgā un atbalstošā vidē;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ieviešanu nodrošināt profesionālās pamatizglītības, profesionālās vidējās izglītības, arodizglītības, profesionālās tālākizglītības un profesionālās pilnveides izglītības programmas apguvē.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un sadarbības partneri, slēdzot pakalpojuma (uzņēmuma) līgumu par projekta aktivitāšu īstenošanu, ievēro Publisko iepirkumu likuma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īstenošanas gaitā radušos izmaksu sadārdzinājumu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sasniegto rezultātu – projekta ietvaros iegādāto simulācijas iekārtu – ilgtspēju vismaz trīs gadus pēc projekta pabeigšanas.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nodrošina datu uzkrāšanu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izglītības iestāžu skaitu, kuras izglītības procesā izmanto jaunizstrādāto profesijas standartu mācību līdzekļus, modulārās profesionālās izglītības programmas, kuru izstrādei ir sniegts Eiropas Sociālā fonda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līdzekļu (tai skaitā iegādāto simulācijas un digitālo mācību līdzekļu) skaitu, kuru izstrādei piešķirts Eiropas Sociālā fonda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horizontālā principa "Vienlīdzīgas iespējas" rādītāju – izstrādāto vai pilnveidoto izglītības programmas, metodisko līdzekļu, vadlīniju, mācību līdzekļu (tai skaitā digitālo mācību līdzekļu) skaitu, kuros ir integrēti vienlīdzīgu iespēju jautājumi (dzimumu līdztiesība vai invaliditāte, vai vecums, vai etniskā piederība).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no projekta iesnieguma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iestādei ir tiesības vienpusēji atkāpties no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tai skaitā netiek ievēroti projektā noteiktie termiņi vai ir iestājušies citi apstākļi, kas negatīvi ietekmē vai var ietekmēt specifiskā atbalsta mērķa uzraudzības rādītāju un finanšu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21-TA-1509</w:t>
    </w:r>
    <w:r>
      <w:br/>
    </w:r>
    <w:r w:rsidR="00000000" w:rsidRPr="00000000" w:rsidDel="00000000">
      <w:rPr>
        <w:rtl w:val="0"/>
      </w:rPr>
      <w:t xml:space="preserve">Izdrukāts 29.07.2026. 22.47 - 1.0.VK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21-TA-1509</w:t>
    </w:r>
    <w:r>
      <w:br/>
    </w:r>
    <w:r w:rsidR="00000000" w:rsidRPr="00000000" w:rsidDel="00000000">
      <w:rPr>
        <w:rtl w:val="0"/>
      </w:rPr>
      <w:t xml:space="preserve">Izdrukāts 29.07.2026. 22.47 - 1.0.VK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noteikumu_konsolidētā_versija_21-TA-1509.docx</dc:title>
</cp:coreProperties>
</file>

<file path=docProps/custom.xml><?xml version="1.0" encoding="utf-8"?>
<Properties xmlns="http://schemas.openxmlformats.org/officeDocument/2006/custom-properties" xmlns:vt="http://schemas.openxmlformats.org/officeDocument/2006/docPropsVTypes"/>
</file>