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4059"/>
        <w:tblGridChange w:id="0">
          <w:tblGrid>
            <w:gridCol w:w="802"/>
            <w:gridCol w:w="4634"/>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1724</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izglītības iestādēs kopējā izglītojamo skaitā iekļauj piecgadīgos un sešgadīgos izglītojamos, bet speciālās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To izglītības iestāžu vadītāju amata algu, kuras īsteno vispārējās un profesionālās izglītības programmas ieslodzījuma vietās, nosaka par vienu pakāpi augstāku.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noteikumu_(grozījumu)_projekts_p1_25-TA-870.docx</dc:title>
</cp:coreProperties>
</file>

<file path=docProps/custom.xml><?xml version="1.0" encoding="utf-8"?>
<Properties xmlns="http://schemas.openxmlformats.org/officeDocument/2006/custom-properties" xmlns:vt="http://schemas.openxmlformats.org/officeDocument/2006/docPropsVTypes"/>
</file>