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3.1.1. specifiskā atbalsta mērķa "Attīstīt ilgtspējīgu, pret klimatu izturīgu, inteliģentu, drošu un vairākveidu TEN-T infrastruktūru" 3.1.1.4. pasākuma "Rīgas pilsētas transporta infrastruktūras attīstība"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prioritārā virziena “Ilgtspējīga TEN-T infrastruktūra” 3.1.1. specifiska atbalsta mērķa “Attīstīt ilgtspējīgu, pret klimatu izturīgu, inteliģentu, drošu un vairākveidu TEN-T infrastruktūru” 3.1.1.4. pasākuma “Rīgas pilsētas transporta infrastruktūras attīstība”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Kohēzijas fonda projekta (turpmāk – projekts)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Rīgas valstspilsētas transporta infrastruktūras izbūve, pārbūve un atjaunošana, nodrošinot starptautisko savienojamību un iekļaušanos TEN-T tīklā, novēršot infrastruktūras pārrāvumus esošo pilsētas maģistrālo ielu tīklā un uzlabojot transporta infrastruktūras tehniskos parametrus un satiksmes drošību.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transporta infrastruktūras lietotāji.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plānotais kopējais finansējums ir ne mazāks kā 86 941 177 </w:t>
      </w:r>
      <w:r w:rsidR="00000000" w:rsidRPr="00000000" w:rsidDel="00000000">
        <w:rPr>
          <w:i w:val="1"/>
          <w:rtl w:val="0"/>
        </w:rPr>
        <w:t xml:space="preserve">euro </w:t>
      </w:r>
      <w:r w:rsidR="00000000" w:rsidRPr="00000000" w:rsidDel="00000000">
        <w:rPr>
          <w:rtl w:val="0"/>
        </w:rPr>
        <w:t xml:space="preserve">(tai skaitā elastības finansējuma apjoms – 13 741 015 </w:t>
      </w:r>
      <w:r w:rsidR="00000000" w:rsidRPr="00000000" w:rsidDel="00000000">
        <w:rPr>
          <w:i w:val="1"/>
          <w:rtl w:val="0"/>
        </w:rPr>
        <w:t xml:space="preserve">euro</w:t>
      </w:r>
      <w:r w:rsidR="00000000" w:rsidRPr="00000000" w:rsidDel="00000000">
        <w:rPr>
          <w:rtl w:val="0"/>
        </w:rPr>
        <w:t xml:space="preserve">), tai skaitā Kohēzijas fonda finansējums 73 900 000 </w:t>
      </w:r>
      <w:r w:rsidR="00000000" w:rsidRPr="00000000" w:rsidDel="00000000">
        <w:rPr>
          <w:i w:val="1"/>
          <w:rtl w:val="0"/>
        </w:rPr>
        <w:t xml:space="preserve">euro</w:t>
      </w:r>
      <w:r w:rsidR="00000000" w:rsidRPr="00000000" w:rsidDel="00000000">
        <w:rPr>
          <w:rtl w:val="0"/>
        </w:rPr>
        <w:t xml:space="preserve"> (tai skaitā elastības finansējuma apjoms – 11 679 863 </w:t>
      </w:r>
      <w:r w:rsidR="00000000" w:rsidRPr="00000000" w:rsidDel="00000000">
        <w:rPr>
          <w:i w:val="1"/>
          <w:rtl w:val="0"/>
        </w:rPr>
        <w:t xml:space="preserve">euro</w:t>
      </w:r>
      <w:r w:rsidR="00000000" w:rsidRPr="00000000" w:rsidDel="00000000">
        <w:rPr>
          <w:rtl w:val="0"/>
        </w:rPr>
        <w:t xml:space="preserve">) un nacionālais finansējums (pašvaldību finansējums) – ne mazāks kā 13 041 177 </w:t>
      </w:r>
      <w:r w:rsidR="00000000" w:rsidRPr="00000000" w:rsidDel="00000000">
        <w:rPr>
          <w:i w:val="1"/>
          <w:rtl w:val="0"/>
        </w:rPr>
        <w:t xml:space="preserve">euro</w:t>
      </w:r>
      <w:r w:rsidR="00000000" w:rsidRPr="00000000" w:rsidDel="00000000">
        <w:rPr>
          <w:rtl w:val="0"/>
        </w:rPr>
        <w:t xml:space="preserve"> (tai skaitā elastības finansējuma apjoms 2 061 152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Maksimālais attiecināmais Kohēzijas  fonda finansējuma apmērs ir līdz 85 procentiem no projektā plānotā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Pieejamais kopējais attiecināmais finansējums līdz 2025. gada 31. decembrim, lai slēgtu vienošanās par projekta īstenošanu, ir ne mazāks kā 73 200 162 </w:t>
      </w:r>
      <w:r w:rsidR="00000000" w:rsidRPr="00000000" w:rsidDel="00000000">
        <w:rPr>
          <w:i w:val="1"/>
          <w:rtl w:val="0"/>
        </w:rPr>
        <w:t xml:space="preserve">euro</w:t>
      </w:r>
      <w:r w:rsidR="00000000" w:rsidRPr="00000000" w:rsidDel="00000000">
        <w:rPr>
          <w:rtl w:val="0"/>
        </w:rPr>
        <w:t xml:space="preserve">, tai skaitā Eiropas Kohēzijas fonda finansējumu 62 220 137 </w:t>
      </w:r>
      <w:r w:rsidR="00000000" w:rsidRPr="00000000" w:rsidDel="00000000">
        <w:rPr>
          <w:i w:val="1"/>
          <w:rtl w:val="0"/>
        </w:rPr>
        <w:t xml:space="preserve">euro</w:t>
      </w:r>
      <w:r w:rsidR="00000000" w:rsidRPr="00000000" w:rsidDel="00000000">
        <w:rPr>
          <w:rtl w:val="0"/>
        </w:rPr>
        <w:t xml:space="preserve"> un nacionālo finansējumu (pašvaldību finansējums) – ne mazāks kā 10 980 025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iesniedzējs projekta īstenošanai, tai skaitā elastības finansējuma priekšfinansēšanai, var piesaistīt papildu publiskos līdzekļus, piemēram, pašvaldības aizņēmumu Valsts kasē.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Pēc 2026. gada 1. janvāra atbildīgā iestāde atbilstoši Eiropas Komisijas lēmumam par vidusposma pārskatu var ierosināt sadarbības iestādei palielināt projektam pieejamo Kohēzijas fonda finansējumu līdz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minētajam apmēram, nepārsniedzot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maksimālo Kohēzijas fonda finansējuma apmēru.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Pasākumam ietvaros Kohēzijas fonda finansējumu piešķir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Pasākumu īsteno līdz 2029. gada 31. decembrim, sasniedzot šādus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nacionālais iznākuma rādītājs –TEN-T tīklā rekonstruēto vai izbūvēto maģistrālo ielu, tiltu, pārvadu un tuneļu garums - 3,5 km;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nacionālais rezultāta rādītājs – izveidots viens jauns pilsētas infrastruktūras iztrūkstošais TEN-T tīkla posms.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minētie rādītāji ir sasniegti, kad tiek pabeigti projektā paredzētie būvdarbi, kas tiek pamatoti ar iesniegtiem būvdarbu pabeigšanu pamatojošiem dokumentiem saskaņā ar būvniecības jomu reglamentējošajos normatīvajos aktos noteikto kārtību un objekti ir nodoti ekspluatācijā normatīvajos aktos noteiktajā kārtībā, un projekts ir pabeigts.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 ietvaros atbildīgās iestādes funkcijas pilda Satiksmes ministrija.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pasākuma ietvaros ir Rīgas valstspilsētas pašvaldība, kas pēc projekta apstiprināšanas ir arī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sagatavo un iesniedz sadarbības iestādei projekta iesniegumu saskaņā ar projekta iesniegumu atlases nolikuma prasībām. Projekta iesniegumam pievieno veikto izmaksu un ieguvumu analīzi. Projekta iesniegumu sadarbības iestādē iesniedz elektroniski, izmantojot Kohēzijas politikas fondu vadības informācijas sistēmu.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Projektā iekļauj atbalstāmās darbības, kas ir vērstas uz Rīgas valstspilsētas transporta infrastruktūras izbūvi, pārbūvi un atjaunošanu, nodrošinot integrētas transporta sistēmas veidošanu, uzlabojot transporta infrastruktūras tehniskos parametrus un satiksmes drošību.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Projektā neiekļauj darbības, kas nav vērstas uz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noteiktā mērķa sasniegšanu.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Pasākuma ietvaros ir attiecināmas šādas projekta tiešās attiecināmās izmaksas, kas ir tieši saistītas ar projekta īstenošanu un nepieciešamas projekta rezultātu sasniegšanai: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atlīdzības izmaksas, kas radušās uz darba līguma vai uzņēmuma (pakalpojuma) līguma pamata, tai skaitā tiesību aktos noteiktās piemaksas un nodokļus, ņemot vērā, ka: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nepārsniedz 84 787 </w:t>
      </w:r>
      <w:r w:rsidR="00000000" w:rsidRPr="00000000" w:rsidDel="00000000">
        <w:rPr>
          <w:i w:val="1"/>
          <w:rtl w:val="0"/>
        </w:rPr>
        <w:t xml:space="preserve">euro</w:t>
      </w:r>
      <w:r w:rsidR="00000000" w:rsidRPr="00000000" w:rsidDel="00000000">
        <w:rPr>
          <w:rtl w:val="0"/>
        </w:rPr>
        <w:t xml:space="preserve"> kalendārajā gadā, ja projekta tiešās attiecināmās izmaksas ir 5 000 000 </w:t>
      </w:r>
      <w:r w:rsidR="00000000" w:rsidRPr="00000000" w:rsidDel="00000000">
        <w:rPr>
          <w:i w:val="1"/>
          <w:rtl w:val="0"/>
        </w:rPr>
        <w:t xml:space="preserve">euro</w:t>
      </w:r>
      <w:r w:rsidR="00000000" w:rsidRPr="00000000" w:rsidDel="00000000">
        <w:rPr>
          <w:rtl w:val="0"/>
        </w:rPr>
        <w:t xml:space="preserve"> vai lielākas;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attiecināma ir ne mazāka kā 30 procentu noslodze, personāla iesaisti projektā nodrošinot saskaņā ar daļlaika attiecināmības principu (attiecināms, ja izmaksas radušās uz darba līguma pamata);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iesnieguma pamatojošās dokumentācijas sagatavošanas izmaksas (izņemot projekta iesnieguma veidlapas aizpildīšanas izmaksas), tai skaitā izmaksu un ieguvumu analīzes izstrādes izmaksas un tehniski ekonomiskā pamatojuma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vides aizsardzības obligāto prasību nodrošināšanai, tostarp ietekmes uz vidi novērtējuma izmaksas, ciktāl to paredz normatīvo aktu prasības;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zemes iegādes izmaksas, ja zemes iegāde ir tieši nepieciešama projektā paredzētās būvniecības īstenošanai, ne vairāk kā 10 procenti no attiecināmo izmaksu kopsummas;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būvlaukuma ierīkošanas un novākšanas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tiltu, satiksmes pārvadu, tuneļu (turpmāk - transportbūves) un ielu būvniecības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apbraucamo ielu būvniecība, nojaukšanas un uzturēšanas izmaksas transportbūvju un ielu būvniecības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 velosipēdu un gājēju ceļiem saistītās izmaksas, lai novērstu infrastruktūras pārrāvumus ar nosacījumu, ka minētajām darbībām nav nepieciešama zemes iegāde un tie nedalāmi saistīti ar projekta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labiekārtošanas izmaksas, tai skaitā autobusu pieturvietas, apgaismojuma līnijas, apzaļumošana, lietusūdens savākšanas un attīrīšanas iekārtu izbūve atbilstoši būvprojekta risinājumam;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ceļu satiksmes organizācijas tehnisko līdzekļu uzstādīšanas un atjaunošanas izmaksas, piemēram, ceļa zīmes, luksofori, signālstabiņi, aizsargbarjeras, gājēju barjeras, vertikālie un horizontālie ceļa apzīmējumi;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satiksmes vadības aprīkojuma uzstādīšanas un atjaunošanas izmaksas, piemēram, meteoroloģiskās stacijas un satiksmes uzskaites punkti, kas nepieciešami konkrētās transportbūves un ielu posma seguma stāvokļa un slodzes noteikšanai;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transportbūvju un ielu kompleksam piegulošo inženiertīklu būvniecības izmaksas. Izmaksas attiecināmas tikai gadījumā, ja tiek nodrošināts sertificēta būvinženiera ekspertīzes atzinums, kurā konstatēts, ka projekta ietvaros veicot plānotos ieguldījumus noteiktās teritorijās, nav iespējams izvairīties no minētās infrastruktūras bojāšanas, pārbūves vai pārcelšanas, un ieguldījumi inženiertīklu  pārbūvē tiek veikti nemainot inženiertīklu tehniskos parametrus un neradot priekšrocības to īpašniekiem;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ceļu drošības audita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būvprojekta izstrādes un ar to saistīto būvekspertīžu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būvuzraudzības un autoruzraudzības izmaksas un attiecīgo būvspeciālistu normatīvajos aktos noteiktās obligātās apdrošināšanas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informācijas un publicitātes pasākumu izmaksas atbilstoši normatīvajiem aktiem par kārtību, kādā Eiropas Savienības fondu ieviešanā 2021.–2027. gada plānošanas periodā nodrošināma komunikācijas un vizuālās identitātes prasību ievērošana;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izdevumi neparedzētu izmaksu segšanai ne vairāk kā 5 procentu apmērā no kopējo tiešo attiecināmo izmaksu summas.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netiešās attiecināmās izmaksas plāno kā vienu izmaksu pozīciju, piemērojot netiešo izmaksu vienoto likmi 15 procentu apmērā no šo noteikumu </w:t>
      </w:r>
      <w:r w:rsidR="00000000" w:rsidRPr="00000000" w:rsidDel="00000000">
        <w:rPr>
          <w:rtl w:val="0"/>
        </w:rPr>
        <w:t xml:space="preserve">18.1. </w:t>
      </w:r>
      <w:r w:rsidR="00000000" w:rsidRPr="00000000" w:rsidDel="00000000">
        <w:rPr>
          <w:rtl w:val="0"/>
        </w:rPr>
        <w:t xml:space="preserve">apakšpunktā</w:t>
      </w:r>
      <w:r w:rsidR="00000000" w:rsidRPr="00000000" w:rsidDel="00000000">
        <w:rPr>
          <w:rtl w:val="0"/>
        </w:rPr>
        <w:t xml:space="preserve"> minētajām izmaksām, kas radušās uz darba līguma pamata.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w:t>
      </w:r>
      <w:r w:rsidR="00000000" w:rsidRPr="00000000" w:rsidDel="00000000">
        <w:rPr>
          <w:rtl w:val="0"/>
        </w:rPr>
        <w:t xml:space="preserve">, </w:t>
      </w:r>
      <w:r w:rsidR="00000000" w:rsidRPr="00000000" w:rsidDel="00000000">
        <w:rPr>
          <w:rtl w:val="0"/>
        </w:rPr>
        <w:t xml:space="preserve">18.14.</w:t>
      </w:r>
      <w:r w:rsidR="00000000" w:rsidRPr="00000000" w:rsidDel="00000000">
        <w:rPr>
          <w:rtl w:val="0"/>
        </w:rPr>
        <w:t xml:space="preserve"> un </w:t>
      </w:r>
      <w:r w:rsidR="00000000" w:rsidRPr="00000000" w:rsidDel="00000000">
        <w:rPr>
          <w:rtl w:val="0"/>
        </w:rPr>
        <w:t xml:space="preserve">18.5. </w:t>
      </w:r>
      <w:r w:rsidR="00000000" w:rsidRPr="00000000" w:rsidDel="00000000">
        <w:rPr>
          <w:rtl w:val="0"/>
        </w:rPr>
        <w:t xml:space="preserve">apakšpunktā</w:t>
      </w:r>
      <w:r w:rsidR="00000000" w:rsidRPr="00000000" w:rsidDel="00000000">
        <w:rPr>
          <w:rtl w:val="0"/>
        </w:rPr>
        <w:t xml:space="preserve"> minētās izmaksas kopā nepārsniedz 10 procentus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ir attiecināmās izmaksas, ja tos nevar atgūt atbilstoši normatīvajiem aktiem par pievienotās vērtības nodokli.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Izmaksas, kas saskaņā ar šiem noteikumiem nav iekļaujamas kā attiecināmās izmaksas, ir finansējamas ārpus projekta.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īstenošanas gaitā radušās sadārdzinājuma izmaksas finansējuma saņēmējs sedz no saviem līdzekļiem.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Pasākuma ietvaros izmaksas ir attiecināmas no 2022. gada 25.novembra, izņemot šo noteikumu </w:t>
      </w:r>
      <w:r w:rsidR="00000000" w:rsidRPr="00000000" w:rsidDel="00000000">
        <w:rPr>
          <w:rtl w:val="0"/>
        </w:rPr>
        <w:t xml:space="preserve">18.2.</w:t>
      </w:r>
      <w:r w:rsidR="00000000" w:rsidRPr="00000000" w:rsidDel="00000000">
        <w:rPr>
          <w:rtl w:val="0"/>
        </w:rPr>
        <w:t xml:space="preserve"> un </w:t>
      </w:r>
      <w:r w:rsidR="00000000" w:rsidRPr="00000000" w:rsidDel="00000000">
        <w:rPr>
          <w:rtl w:val="0"/>
        </w:rPr>
        <w:t xml:space="preserve">18.14. </w:t>
      </w:r>
      <w:r w:rsidR="00000000" w:rsidRPr="00000000" w:rsidDel="00000000">
        <w:rPr>
          <w:rtl w:val="0"/>
        </w:rPr>
        <w:t xml:space="preserve">apakšpunktā</w:t>
      </w:r>
      <w:r w:rsidR="00000000" w:rsidRPr="00000000" w:rsidDel="00000000">
        <w:rPr>
          <w:rtl w:val="0"/>
        </w:rPr>
        <w:t xml:space="preserve"> minētās izmaksas, kas ir attiecināmas, ja tās veiktas pēc 2021. gada 1.janvāra.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Finansējuma saņēmējs projektu īsteno saskaņā ar noslēgto vienošanos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projektā sasniegto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rādītāju;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uzkrāj datus par laika ietaupījumu (dienas/gadā) no uzlabotas transporta infrastruktūras;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uzkrāj datus par projekta ietekmi uz horizontālā principa “Vienlīdzība, iekļaušana, nediskriminācija un pamattiesību ievērošana” rādītāju – objektu skaits, kuros Kohēzijas fonda ieguldījumu rezultātā ir nodrošināta vides un informācijas pieejamība – un citiem horizontālo principu rādītājiem (ja attiecināms) un ievēro principus: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vienlīdzība, iekļaušana, nediskriminācija un pamattiesību ievērošana;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nenodarīt būtisku kaitējumu;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sniedz sadarbības iestādei informāciju par šo noteikumu </w:t>
      </w:r>
      <w:r w:rsidR="00000000" w:rsidRPr="00000000" w:rsidDel="00000000">
        <w:rPr>
          <w:rtl w:val="0"/>
        </w:rPr>
        <w:t xml:space="preserve">26.3. </w:t>
      </w:r>
      <w:r w:rsidR="00000000" w:rsidRPr="00000000" w:rsidDel="00000000">
        <w:rPr>
          <w:rtl w:val="0"/>
        </w:rPr>
        <w:t xml:space="preserve">apakšpunktā</w:t>
      </w:r>
      <w:r w:rsidR="00000000" w:rsidRPr="00000000" w:rsidDel="00000000">
        <w:rPr>
          <w:rtl w:val="0"/>
        </w:rPr>
        <w:t xml:space="preserve"> minētajiem horizontālo principu rādītājiem vienlaikus ar informāciju par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minēto rādītāju vērtību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lai pasākuma ietvaros plānotais atbalsts un attiecināmās izmaksas nepārklātos ar citiem valsts un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sasniegto rezultātu ilgtspēju vismaz piecus gadus pēc projekta pabeigšanas;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projekta īstenošanas rezultātā radīto vērtību uzturēšanu ar savlaicīgu uzturēšanas un periodiskās nodilušo konstrukciju atjaunošanas plānošanu un finansējuma piešķiršanu šiem darbiem turpmākos 20 gadus pēc projekta īstenošanas;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ka projekta īstenošanas laikā, transporta infrastruktūra un zeme, kas nepieciešama projekta īstenošanai, ir finansējuma saņēmēja īpašumā, vai arī, būvniecības iecere ir saskaņota ar projekta īstenošanai nepieciešamo zemes īpašumu īpašniekiem, atbilstoši būvniecības jomas normatīvo aktu nosacījumiem;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ne retāk kā vienu reizi ceturksnī savā tīmekļvietnē ievieto aktuālo informāciju par projekta īstenošanu un aktualizē to, tiklīdz pieejama aktuālāka informācija;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nodrošina informācijas un publicitātes pasākumus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izstrādā Iekšējās kontroles sistēmu, ietverot tajā informāciju par interešu konflikta, krāpšanas, korupcijas risku un dubultā finansējuma novēršanas mehānismu.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Finansējuma saņēmējs projekta īstenošanai nepieciešamo preču un pakalpojumu iegādi veic saskaņā ar normatīvajiem aktiem publisko iepirkumu jomā, īstenojot atklātu, pārredzamu, nediskriminējošu un konkurenci nodrošinošu konkursa procedūru. Atbalstāma ir vides prasību integrācija preču un pakalpojumu iepirkumos, kā arī vides pieejamības un izmantojamības nodrošināšana (zaļais publiskais iepirkums), kur tā ir attiecināma un atbilstoša ieguldījumu specifikai, lai īstenotu sociāli atbildīgu iepirkumu.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Sadarbības iestāde, ja tai ir pieejami valsts budžeta līdzekļi, pamatojoties uz finansējuma saņēmēja rakstisku avansa pieprasījumu un izvērtējot plānotā avansa apmēru, tā pamatojumu un spēju to izlietot sešu mēnešu laikā (piemēram, projekta iesniedzējam ir pabeigts būvdarbu iepirkums vai noslēgts būvdarbu līgums), var piešķirt finansējuma saņēmējam avansu līdz 50 procentiem no projektam piešķirtā Kohēzijas fonda finansējuma pēc vienošanās par projekta īstenošanu noslēgšanas, ievērojot, ievērojot, ka avansa un starpposma maksājumu kopsumma nepārsniedz 90 procentus no projektam piešķirtā Kohēzijas fonda finansējuma.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īstenošanas vieta ir Rīgas valstspilsēta.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23-TA-1368</w:t>
    </w:r>
    <w:r>
      <w:br/>
    </w:r>
    <w:r w:rsidR="00000000" w:rsidRPr="00000000" w:rsidDel="00000000">
      <w:rPr>
        <w:rtl w:val="0"/>
      </w:rPr>
      <w:t xml:space="preserve">Izdrukāts 29.07.2026. 22.27 - 1.0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23-TA-1368</w:t>
    </w:r>
    <w:r>
      <w:br/>
    </w:r>
    <w:r w:rsidR="00000000" w:rsidRPr="00000000" w:rsidDel="00000000">
      <w:rPr>
        <w:rtl w:val="0"/>
      </w:rPr>
      <w:t xml:space="preserve">Izdrukāts 29.07.2026. 22.27 - 1.0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noteikumu_projekts_23-TA-1368.docx</dc:title>
</cp:coreProperties>
</file>

<file path=docProps/custom.xml><?xml version="1.0" encoding="utf-8"?>
<Properties xmlns="http://schemas.openxmlformats.org/officeDocument/2006/custom-properties" xmlns:vt="http://schemas.openxmlformats.org/officeDocument/2006/docPropsVTypes"/>
</file>