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4.3.4. specifiskā atbalsta mērķa "Sekmēt aktīvu iekļaušanu, lai veicinātu vienlīdzīgas iespējas, nediskriminēšanu un aktīvu līdzdalību, kā arī uzlabotu nodarbināmību, jo īpaši attiecībā uz nelabvēlīgā situācijā esošām grupām" 4.3.4.2. pasākumu "Atbalsta pasākumi diskriminācijas riskam pakļautajām personām vienlīdzīgu iespēju un tiesību realizēšanai dažādās dzīves jomās"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īstenot atbalsta pasākumus diskriminācijas risku novēršanai, kā arī vienlīdzīgu iespēju un nediskriminācijas veicināšanai, lai sekmētu sociālās atstumtības un diskriminācijas riskam pakļauto personu iekļaušanos sabiedrībā un darba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pakļautas sociālās atstumtības un diskriminācijas riskam invaliditātes, vecuma, dzimuma, etniskās piederības, reliģiskās pārliecības vai seksuālās orientācijas dēļ.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programmas iznākuma rādītājs – biedrības un nodibinājumi, kuri saņēmuši atbalstu, – 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biedrības un nodibinājumi, kuri saņēmuši atbalstu, – 124;</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 diskriminācijas riskam pakļautas personas, kurām mazināts diskriminācijas risks un veicināta iekļaušanās sabiedrībā, – 18 600.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5 582 000 </w:t>
      </w:r>
      <w:r w:rsidR="00000000" w:rsidRPr="00000000" w:rsidDel="00000000">
        <w:rPr>
          <w:i w:val="1"/>
          <w:rtl w:val="0"/>
        </w:rPr>
        <w:t xml:space="preserve">euro</w:t>
      </w:r>
      <w:r w:rsidR="00000000" w:rsidRPr="00000000" w:rsidDel="00000000">
        <w:rPr>
          <w:rtl w:val="0"/>
        </w:rPr>
        <w:t xml:space="preserve">, tai skaitā Eiropas Sociālā fonda Plus finansējums – 4 744 700 </w:t>
      </w:r>
      <w:r w:rsidR="00000000" w:rsidRPr="00000000" w:rsidDel="00000000">
        <w:rPr>
          <w:i w:val="1"/>
          <w:rtl w:val="0"/>
        </w:rPr>
        <w:t xml:space="preserve">euro </w:t>
      </w:r>
      <w:r w:rsidR="00000000" w:rsidRPr="00000000" w:rsidDel="00000000">
        <w:rPr>
          <w:rtl w:val="0"/>
        </w:rPr>
        <w:t xml:space="preserve">un valsts budžeta līdzfinansējums – 837 300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iestāde atklātu projektu iesniegumu atlasi organizē kārtās, atlases termiņus saskaņojot ar atbildīgo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iesniegumu atlases kārtu izsludina par ne vairāk kā 1 860 668 </w:t>
      </w:r>
      <w:r w:rsidR="00000000" w:rsidRPr="00000000" w:rsidDel="00000000">
        <w:rPr>
          <w:i w:val="1"/>
          <w:rtl w:val="0"/>
        </w:rPr>
        <w:t xml:space="preserve">euro</w:t>
      </w:r>
      <w:r w:rsidR="00000000" w:rsidRPr="00000000" w:rsidDel="00000000">
        <w:rPr>
          <w:rtl w:val="0"/>
        </w:rPr>
        <w:t xml:space="preserve">, tai skaitā Eiropas Sociālā fonda Plus finansējumu – 1 581 568 </w:t>
      </w:r>
      <w:r w:rsidR="00000000" w:rsidRPr="00000000" w:rsidDel="00000000">
        <w:rPr>
          <w:i w:val="1"/>
          <w:rtl w:val="0"/>
        </w:rPr>
        <w:t xml:space="preserve">euro</w:t>
      </w:r>
      <w:r w:rsidR="00000000" w:rsidRPr="00000000" w:rsidDel="00000000">
        <w:rPr>
          <w:rtl w:val="0"/>
        </w:rPr>
        <w:t xml:space="preserve"> un valsts budžeta līdzfinansējumu – 279 100 </w:t>
      </w:r>
      <w:r w:rsidR="00000000" w:rsidRPr="00000000" w:rsidDel="00000000">
        <w:rPr>
          <w:i w:val="1"/>
          <w:rtl w:val="0"/>
        </w:rPr>
        <w:t xml:space="preserve">euro</w:t>
      </w:r>
      <w:r w:rsidR="00000000" w:rsidRPr="00000000" w:rsidDel="00000000">
        <w:rPr>
          <w:rtl w:val="0"/>
        </w:rPr>
        <w:t xml:space="preserve">. Ja attiecīgajā projektu iesniegumu atlasē neapstiprina projektu iesniegumus par visu projektu iesniegumu atlases kārtai pieejamo kopējo attiecināmo finansējumu, finansējuma atlikums tiek pārplānots nākamajām projektu iesniegumu atlases kārtām.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bet valsts budžeta līdzfinansējums nepārsniedz 15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minimālā attiecināmo izmaksu kopsumma nav ierobežota, projekta maksimālā attiecināmo izmaksu kopsumma ir 45 000</w:t>
      </w:r>
      <w:r w:rsidR="00000000" w:rsidRPr="00000000" w:rsidDel="00000000">
        <w:rPr>
          <w:i w:val="1"/>
          <w:rtl w:val="0"/>
        </w:rPr>
        <w:t xml:space="preserve"> euro</w:t>
      </w:r>
      <w:r w:rsidR="00000000" w:rsidRPr="00000000" w:rsidDel="00000000">
        <w:rPr>
          <w:rtl w:val="0"/>
        </w:rPr>
        <w:t xml:space="preserve">. Vienā projektā nodrošina vismaz 150 šo noteikumu 3. punktā minētās mērķa grupas personu dalību skaitu atbalsta pasākumos.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dienas, kad ar sadarbības iestādi noslēgts līgums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biedrība vai nodibinājums, kas saskaņā ar tā statūtiem nodrošina diskriminācijas mazināšanas pasākumus, pārstāvot kādu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personu interesēm un sekmējot šo personu sociālo iekļaušanu.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vienā projektu iesniegumu atlases kārtā var iesniegt vienu projekta iesniegumu, kurā paredzēts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personām nodrošināt vienu vai vairākus šo noteikumu </w:t>
      </w:r>
      <w:r w:rsidR="00000000" w:rsidRPr="00000000" w:rsidDel="00000000">
        <w:rPr>
          <w:rtl w:val="0"/>
        </w:rPr>
        <w:t xml:space="preserve">24.1. </w:t>
      </w:r>
      <w:r w:rsidR="00000000" w:rsidRPr="00000000" w:rsidDel="00000000">
        <w:rPr>
          <w:rtl w:val="0"/>
        </w:rPr>
        <w:t xml:space="preserve">apakšpunktā</w:t>
      </w:r>
      <w:r w:rsidR="00000000" w:rsidRPr="00000000" w:rsidDel="00000000">
        <w:rPr>
          <w:rtl w:val="0"/>
        </w:rPr>
        <w:t xml:space="preserve"> minētos atbalsta pasākumu veidus.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pasākumu īstenošana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personām vienlīdzīgu iespēju un tiesību realizēšanai dažādās dzīves jomās;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personāla izmaksas ietver finansējuma saņēmēja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nepilna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2021/1060 64. panta 1. punkta "c" apakšpunktā minētajiem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izmaksu veikšanai sadarbības iestāde finansējuma saņēmējam veic avansa un starpposma maksājumus atbilstoši normatīvajiem aktiem, kas nosaka valsts budžeta līdzekļu plānošanas kārtību Eiropas Savienības fondu projektu īstenošanai un maksājumu veikšanai 2021.–2027. gada plānošanas periodā, nodrošinot avansa un starpposma maksājumu kopsummu 90 procentu apmērā no kopējā projektam apstiprinātā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atbilst iespējai to izlietot sešu mēnešu laikā. Sadarbības iestāde var piešķirt finansējuma saņēmējam avansu līdz 30 procentiem no kopējā projektam apstiprinātā attiecināmā finansējuma, ievērojot, ka avansu var izmaksāt vairākos maksājumos.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ietvaros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šādus atbalsta pasākumu veidus – konferences, konsultācijas, lekcijas, seminārus, diskusijas, domnīcas, darbnīcas, interešu grupu nodarbības, atbalsta grupas, aktīvās atpūtas pasākumus ārpus mājas, kā arī citus atbalsta pasākumu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atbalsta pasākumi ietver mērķa grupas personām aktuālu tēmu loku par nediskrimināciju un vienlīdzīgu iespēju veicināšanu un savu tiesību īstenošanu dažādās dzīves jomās, lai veicinātu mērķa grupas personu izpratni un zināšanas par iespējamajiem diskriminācijas riskiem un to atpazīšanu, aktivizētu šo personu rīcībspēju, kā arī veicinātu spēju un motivāciju apzināties savas problēmas, risināt tās un mainīt līdzšinējo situāciju.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personas dalībai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minētajos atbalsta pasākumos;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anketu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personu atbilstības pārbaudei dalībai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minētajos atbalsta pasākumos. Anketā norāda vārdu, uzvārdu, personas kodu un uz personu attiecināmu konkrētu diskriminācijas riska pamatu;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informācija par projektā paredzētajiem atbalsta pasākumiem ir piekļūstama iedzīvotājiem plānošanas reģiona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nepieciešamo personālu vai īsteno iepirkumus, nodrošinot, ka projekta īstenošanas laikā tiek ievēroti interešu konflikta, korupcijas un krāpšanas novēršanas nosacījumi, un vismaz paredzot, ka projekta vadībā un īstenošanā iesaistītais personāls un iepirkuma līgumu izpildītāji ir 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Ministru kabineta 2017. gada 28. februāra noteikumos Nr. 104 "Noteikumi par iepirkuma procedūru un tās piemērošanas kārtību pasūtītāja finansētiem projektiem" noteikto līguma slēgšanas tiesību piešķiršanas procedūru (ja attiecināms) un noteiktos ierobežojumus šādu līgumu slēgšanai, tai skaitā aizpilda un apstiprina minēto noteikumu 1. pielikumā norādīto apliecinājumu par interešu konflikta neesību un pievieno to iepirkuma līgumu slēgšanas dokumentācijai;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personām netiek finansēts vai līdzfinansēts, kā arī to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2021/1060 47. un 50. pantā un normatīvajos aktos,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ja tāda ir,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citas piederības un pamattiesību jautājumiem,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w:t>
      </w:r>
      <w:r w:rsidR="00000000" w:rsidRPr="00000000" w:rsidDel="00000000">
        <w:rPr>
          <w:rtl w:val="0"/>
        </w:rPr>
        <w:t xml:space="preserve">ā minētās atbalstāmās darbības īstenošanas un maksājuma pieprasījumu sagatavošanas nolūkā veic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mērķa grupas personu atbilstības pārbaudi iesaistei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minētajos atbalsta pasākumos, veic minēto personu identificēšanu un uzskaiti, norādot vārdu, uzvārdu, personas kodu, atzīmi par diskriminācijas riska pamatu, kā arī citu personas datus nesaturošu informāciju, kas nepieciešama maksājuma pieprasījuma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netiek plānots atbalsts tādām finansējuma saņēmēja darbībām, kurām atbalsts atbilstoši Komercdarbības atbalsta kontroles likuma 5. pantam būtu kvalificējams kā komercdarbības atbalsts. Ja finansējuma saņēmējs vienlaikus īsteno pasākuma atbalstāmās darbības un veic saimniecisko darbību, kurai saskaņā ar Komercdarbības atbalsta kontroles likumu būtu jāpiemēro komercdarbības atbalsta nosacījumi, finansējuma saņēmējs nodrošina šo darbību nodalīšanu.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iesniegumu atlases kārtas ietvaros projektu īsteno ne ilgāk par 18 mēnešiem no dienas, kad noslēgts līgums ar sadarbības iestādi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23-TA-2761</w:t>
    </w:r>
    <w:r>
      <w:br/>
    </w:r>
    <w:r w:rsidR="00000000" w:rsidRPr="00000000" w:rsidDel="00000000">
      <w:rPr>
        <w:rtl w:val="0"/>
      </w:rPr>
      <w:t xml:space="preserve">Izdrukāts 29.07.2026. 21.57 - 1.0.VK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23-TA-2761</w:t>
    </w:r>
    <w:r>
      <w:br/>
    </w:r>
    <w:r w:rsidR="00000000" w:rsidRPr="00000000" w:rsidDel="00000000">
      <w:rPr>
        <w:rtl w:val="0"/>
      </w:rPr>
      <w:t xml:space="preserve">Izdrukāts 29.07.2026. 21.57 - 1.0.VK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noteikumu_projekts_23-TA-2761.docx</dc:title>
</cp:coreProperties>
</file>

<file path=docProps/custom.xml><?xml version="1.0" encoding="utf-8"?>
<Properties xmlns="http://schemas.openxmlformats.org/officeDocument/2006/custom-properties" xmlns:vt="http://schemas.openxmlformats.org/officeDocument/2006/docPropsVTypes"/>
</file>