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53 173.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Saliedētas un pilsoniski aktīvas sabiedrības attīstības plāns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Saliedētas un pilsoniski aktīvas sabiedrības attīstības plānu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Kultūras ministriju par atbildīgo institūciju plāna īstenošanā, bet par līdzatbildīgajām institūcijām – Aizsardzības ministriju, Iekšlietu ministriju, Izglītības un zinātnes ministriju, Labklājības ministriju, Tieslietu ministriju, Viedās administrācijas un reģionālās attīstības ministriju, Valsts kanceleju un Sabiedrības integrācijas fondu.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Atbildīgajai institūcijai un līdzatbildīgajām institūcijām plānā paredzēto pasākumu īstenošanu 2024. un 2025. gadā nodrošināt atbilstoši piešķirtajiem valsts budžeta līdzekļiem. Jautājumu par papildu valsts budžeta līdzekļu piešķiršanu plāna īstenošanai 2026. un 2027. gadā skatīt likumprojekta "Par valsts budžetu 2026. gadam un budžeta ietvaru 2026., 2027. un 2028. gadam" sagatavošanas procesā kopā ar visu ministriju un citu centrālo valsts iestāžu prioritārajiem pasākumiem, ievērojot valsts budžeta finansiālās iespējas. Ja budžeta likumprojekta sagatavošanas procesā netiek atbalstīta papildu finansējuma piešķiršana, plānā paredzēto pasākumu īstenošanu nodrošināt atbilstoši iesaistīto institūciju rīcībā esošajam finansējumam.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24-TA-1016</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24-TA-1016</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rīkojuma_projekts_24-TA-1016.docx</dc:title>
</cp:coreProperties>
</file>

<file path=docProps/custom.xml><?xml version="1.0" encoding="utf-8"?>
<Properties xmlns="http://schemas.openxmlformats.org/officeDocument/2006/custom-properties" xmlns:vt="http://schemas.openxmlformats.org/officeDocument/2006/docPropsVTypes"/>
</file>