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(Latvijas Vēstnesis, 2023, 10., 158. nr.; 2024, 132., 216.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gala labuma guvējs – Latvijas Republikā reģistrēts sīkais (mikro), mazais, vidējais, lielais komersants (tai skaitā juridiskas personas ārvalstu filiāle, zemnieku saimniecība, kooperatīvā sabiedrība), biedrība un nodibinājums, kas veic saimniecisko darbību, pētniecības un zināšanu izplatīšanas organizācija, publiskas personas kapitālsabiedrība;".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darbības, kas jau ir pabeigtas brīdī, kad tiek noslēgta Latvijas Investīciju un attīstības aģentūras vienošanās ar Ekonomikas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tam saskaņā ar Valsts ieņēmumu dienesta administrēto nodokļu (nodevu) parādnieku publiskajā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36.4.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Gala labuma guvējs iesniedz Latvijas Investīciju un attīstības aģentūrā ieguldījumus pamatojošo dokumentāciju kopā ar otrreizējo digitālā brieduma testu un, ja attiecināms, atzinumu. Latvijas Investīciju un attīstības aģentūra savstarpēji salīdzina sākotnējo digitālā brieduma testu un otrreizējo digitālā brieduma testu. Salīdzinājuma rezultātā jābūt vērojamam uzlabojumam kopējā digitalizācijas līmenī. Gala labuma guvējam izmaksas tiek attiecinātas tikai pēc izmaksas pamatojošās dokumentācijas, otrreizējā digitālā brieduma testa un, ja attiecināms, atzinuma pārbaudes, ko veic Latvijas Investīciju un attīstības aģentūra. Otrreizējais digitālā brieduma tests un, ja attiecināms, atzinums jāiesniedz Latvijas Investīciju un attīstības aģentūrā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"60.3. azartspēlēm un derībām (NACE 2.1. red. 92. nodaļa "Azartspēles un derības");".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"60.4.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"60.6. 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60.7.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"60.8. atkritumu apstrādei un izvietošanai (NACE 2.1. red. grupa 38.3 "Atkritumu likvidēšana bez resursu atgūšanas")."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gala labuma guvējs vienlaikus darbojas vienā vai vairākās Komisijas regulas Nr. 651/2014 1. panta 3. punkta "a", "b" un "c" apakšpunktā minētajās neatbalstāmajās nozarēs un šo noteikumu 60.1., 60.2., 60.3., 60.4., 60.5., 60.6. un 60.8. apakšpunktā minētajās neatbalstāmajās nozarēs un 60.</w:t>
      </w:r>
      <w:r w:rsidR="00000000" w:rsidRPr="00000000" w:rsidDel="00000000">
        <w:rPr>
          <w:vertAlign w:val="superscript"/>
          <w:rtl w:val="0"/>
        </w:rPr>
        <w:t xml:space="preserve">1</w:t>
      </w:r>
      <w:r w:rsidR="00000000" w:rsidRPr="00000000" w:rsidDel="00000000">
        <w:rPr>
          <w:rtl w:val="0"/>
        </w:rPr>
        <w:t xml:space="preserve"> punktā minētajās darbībās, atbalstu drīkst piešķirt tikai tad, ja gala labuma guvējs nodrošina šo nozaru darbību vai uzskaites nodalīšanu no citu darbības nozaru finanšu plūsmas, lai darbības izslēgtajās nozarēs negūst labumu no atbalsta saskaņā ar Komisijas regulas Nr. 651/2014 1. panta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Ja gala labuma guvējs vienlaikus darbojas vienā vai vairākās Komisijas regulas Nr. 2023/2831 1. panta 1. punkta "a", "b", "c" un "d" apakšpunktā minētajās nozarēs, Komisijas regulas Nr. 1408/2013 1. pantā noteiktajās nozarēs un šo noteikumu 60.2., 60.3., 60.4., 60.6. un 60.8. apakšpunktā minētajās neatbalstāmajās nozarēs un 60.</w:t>
      </w:r>
      <w:r w:rsidR="00000000" w:rsidRPr="00000000" w:rsidDel="00000000">
        <w:rPr>
          <w:vertAlign w:val="superscript"/>
          <w:rtl w:val="0"/>
        </w:rPr>
        <w:t xml:space="preserve">1</w:t>
      </w:r>
      <w:r w:rsidR="00000000" w:rsidRPr="00000000" w:rsidDel="00000000">
        <w:rPr>
          <w:rtl w:val="0"/>
        </w:rPr>
        <w:t xml:space="preserve"> punktā minētajās darbībās, atbalstu tas var saņemt, ja gala labuma guvējs nodrošina šo nozaru darbību vai uzskaites nodalīšanu, lai saskaņā ar Komisijas regulas Nr. 2023/2831 1. panta 2. punktu vai Komisijas regulas Nr. 1408/2013 1. panta 2. un 3.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Viens vienots uzņēmums ir uzņēmums, kas atbilst Komisijas regulas Nr. 1408/2013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gala labuma guvējam saskaņā ar Valsts ieņēmumu dienesta administrēto nodokļu (nodevu) parādnieku publiskajā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24-TA-2781</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24-TA-2781</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noteikumu_(grozījumu)_projekts_24-TA-2781.docx</dc:title>
</cp:coreProperties>
</file>

<file path=docProps/custom.xml><?xml version="1.0" encoding="utf-8"?>
<Properties xmlns="http://schemas.openxmlformats.org/officeDocument/2006/custom-properties" xmlns:vt="http://schemas.openxmlformats.org/officeDocument/2006/docPropsVTypes"/>
</file>