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maijā (prot. Nr. 28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uzņemties valsts budžeta ilgtermiņa saistības, lai nodrošinātu Latvijas iesaisti projektos un pasākumos Eiropas Komisijas tieši administrētajās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Aizsardzības ministrijai uzņemties papildu valsts budžeta ilgtermiņa saistības 2026.–2028. gadā, lai Latvijas Universitātes Matemātikas un informātikas institūts (LUMII) kā viens no starptautiskā projekta partneriem īstenotu Eiropas Savienības programmas "Digitālā Eiropa" uzsaukuma DIGITAL-ECCC-2024-DEPLOY-CYBER-07-SOCPLAT projektu "Nordic Baltic Cyber Consortium".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1. punktā minētā projekta īstenošanai nepieciešamo līdzfinansējumu un priekšfinansējumu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"Eiropas Savienības programmas "Digitālā Eiropa" projektu un pasākumu īstenošana".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pēc īstenotā projekta noslēguma maksājumu saņemšanas nodrošināt līdzekļu ieskaitīšanu valsts pamatbudžeta ieņēmumos, lai valsts budžetā atmaksātu saņemto un izlietoto valsts budžeta priekšfinansējumu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26-TA-196</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26-TA-196</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rīkojuma_projekts_26-TA-196.docx</dc:title>
</cp:coreProperties>
</file>

<file path=docProps/custom.xml><?xml version="1.0" encoding="utf-8"?>
<Properties xmlns="http://schemas.openxmlformats.org/officeDocument/2006/custom-properties" xmlns:vt="http://schemas.openxmlformats.org/officeDocument/2006/docPropsVTypes"/>
</file>