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jūlijā (prot. Nr. 36 84.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2.,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 pašnodarbināta persona un fiziska persona, kas veic vai gatavojas uzsākt saimniecisko darbību, fizisko personu grupa, kuras dalībnieki pilnvaro vienu fizisko personu iesniegt atbalsta pieteikumu atbalsta saņemšanai, lai uzsāktu saimniecisko darbību, un Latvijas Republikas Komercreģistrā reģistrēts komersants, nodibinājumu un biedrību reģistrā reģistrētas biedrības un nodibinājumi, kas atbilst sīkā (mikro), mazā vai vidējā komersanta statusam saskaņā ar Eiropas Komisijas 2014. gada 17. jūnija Regulas (ES) Nr. 651/2014, ar ko noteiktas atbalsta kategorijas atzīst par saderīgām ar iekšējo tirgu, piemērojot Līguma 107. un 108. pantu (turpmāk – regula Nr. 651/2014),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vismaz vidēji zemo tehnoloģiju nozares vai pārtikas un/vai dzērienu rūpniecības vai zināšanu ietilpīgu pakalpojumu komersants ar eksportspējīgu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 vai zināšanu ietilpīgu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pasākumus inovācijas motivācijas aktivitātēm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pasākumus biznesa inkubācijas aktivitātēm (finanšu un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pasākumus eksporta veicināšanas aktivitātēm (finanšu un nefinanšu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73 379 551 </w:t>
      </w:r>
      <w:r w:rsidR="00000000" w:rsidRPr="00000000" w:rsidDel="00000000">
        <w:rPr>
          <w:i w:val="1"/>
          <w:rtl w:val="0"/>
        </w:rPr>
        <w:t xml:space="preserve">euro</w:t>
      </w:r>
      <w:r w:rsidR="00000000" w:rsidRPr="00000000" w:rsidDel="00000000">
        <w:rPr>
          <w:rtl w:val="0"/>
        </w:rPr>
        <w:t xml:space="preserve"> (elastības finansējums – 11 573 812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62 372 618 </w:t>
      </w:r>
      <w:r w:rsidR="00000000" w:rsidRPr="00000000" w:rsidDel="00000000">
        <w:rPr>
          <w:i w:val="1"/>
          <w:rtl w:val="0"/>
        </w:rPr>
        <w:t xml:space="preserve">euro </w:t>
      </w:r>
      <w:r w:rsidR="00000000" w:rsidRPr="00000000" w:rsidDel="00000000">
        <w:rPr>
          <w:rtl w:val="0"/>
        </w:rPr>
        <w:t xml:space="preserve">(elastības finansējums – 9 837 741 </w:t>
      </w:r>
      <w:r w:rsidR="00000000" w:rsidRPr="00000000" w:rsidDel="00000000">
        <w:rPr>
          <w:i w:val="1"/>
          <w:rtl w:val="0"/>
        </w:rPr>
        <w:t xml:space="preserve">euro</w:t>
      </w:r>
      <w:r w:rsidR="00000000" w:rsidRPr="00000000" w:rsidDel="00000000">
        <w:rPr>
          <w:rtl w:val="0"/>
        </w:rPr>
        <w:t xml:space="preserve">) un valsts budžeta finansējums – 11 006 933 </w:t>
      </w:r>
      <w:r w:rsidR="00000000" w:rsidRPr="00000000" w:rsidDel="00000000">
        <w:rPr>
          <w:i w:val="1"/>
          <w:rtl w:val="0"/>
        </w:rPr>
        <w:t xml:space="preserve"> euro</w:t>
      </w:r>
      <w:r w:rsidR="00000000" w:rsidRPr="00000000" w:rsidDel="00000000">
        <w:rPr>
          <w:rtl w:val="0"/>
        </w:rPr>
        <w:t xml:space="preserve"> (elastības finansējums – 1 736 071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61 805 739 </w:t>
      </w:r>
      <w:r w:rsidR="00000000" w:rsidRPr="00000000" w:rsidDel="00000000">
        <w:rPr>
          <w:i w:val="1"/>
          <w:rtl w:val="0"/>
        </w:rPr>
        <w:t xml:space="preserve">euro </w:t>
      </w:r>
      <w:r w:rsidR="00000000" w:rsidRPr="00000000" w:rsidDel="00000000">
        <w:rPr>
          <w:rtl w:val="0"/>
        </w:rPr>
        <w:t xml:space="preserve">apmērā, tai skaitā ERAF finansējumu – 52 534 877 </w:t>
      </w:r>
      <w:r w:rsidR="00000000" w:rsidRPr="00000000" w:rsidDel="00000000">
        <w:rPr>
          <w:i w:val="1"/>
          <w:rtl w:val="0"/>
        </w:rPr>
        <w:t xml:space="preserve">euro </w:t>
      </w:r>
      <w:r w:rsidR="00000000" w:rsidRPr="00000000" w:rsidDel="00000000">
        <w:rPr>
          <w:rtl w:val="0"/>
        </w:rPr>
        <w:t xml:space="preserve">apmērā, valsts budžeta finansējumu – 9 270 862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28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63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48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285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422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192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384 (pirmsinkubācijā un inkubācijā atbalstīto uzņēmumu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192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48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saņēmējam ir jāuzkrāj dati par viedās specializācijas stratēģijas (RIS3) jomā atbalstītajiem komersantiem, ievadot tos Kohēzijas politikas fondu vadības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punkta aktivitātēm atbilstoši projektu iesniegumu atlases nolikuma prasībām un iesniedz to sadarbības iestādē, izmantojot Kohēzijas politikas fondu vadības informācijas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nepieciešama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Vienkāršoto izmaksu vienotā izmaksu likme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atlīdzības izmaksām ir 20 procentu no pārējām tiešajām attiecināmajām izmaksām, neieskaitot personāla atlīdzības izmaksas, atbilstoši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36.</w:t>
      </w:r>
      <w:r w:rsidR="00000000" w:rsidRPr="00000000" w:rsidDel="00000000">
        <w:rPr>
          <w:rtl w:val="0"/>
        </w:rPr>
        <w:t xml:space="preserve"> 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noteikto darbību izmaksas šo noteikumu </w:t>
      </w:r>
      <w:r w:rsidR="00000000" w:rsidRPr="00000000" w:rsidDel="00000000">
        <w:rPr>
          <w:rtl w:val="0"/>
        </w:rPr>
        <w:t xml:space="preserve">44.</w:t>
      </w:r>
      <w:r w:rsidR="00000000" w:rsidRPr="00000000" w:rsidDel="00000000">
        <w:rPr>
          <w:rtl w:val="0"/>
        </w:rPr>
        <w:t xml:space="preserve"> 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Aktivitātes mērķa grupa ir gala labuma guvēji, kas atbilst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pašnodarbināta persona,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Aktivitātes mērķa grupa ir gala labuma guvēji, kas atbilst vienam no šādiem nosacījumiem: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kuri veic vai gatavojas uzsākt saimniecisko darbību, un fizisko personu grupa – komanda, kas īsteno biznesa ideju.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ražošanas 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vienam darbiniekam vienu reizi 12 mēnešu periodā – tikai inovatīvam komersantam.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apakšpunktā norādītais atbalsts telpu un darba vietas nomas gadījumā, kā arī </w:t>
      </w:r>
      <w:r w:rsidR="00000000" w:rsidRPr="00000000" w:rsidDel="00000000">
        <w:rPr>
          <w:rtl w:val="0"/>
        </w:rPr>
        <w:t xml:space="preserve">39.4.</w:t>
      </w:r>
      <w:r w:rsidR="00000000" w:rsidRPr="00000000" w:rsidDel="00000000">
        <w:rPr>
          <w:rtl w:val="0"/>
        </w:rPr>
        <w:t xml:space="preserve"> apakšpunktā norādītais atbalsts pieejams tikai komersanta pirmajos divos inkubācijas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 izņemot šo noteikumu </w:t>
      </w:r>
      <w:r w:rsidR="00000000" w:rsidRPr="00000000" w:rsidDel="00000000">
        <w:rPr>
          <w:rtl w:val="0"/>
        </w:rPr>
        <w:t xml:space="preserve">39.5.</w:t>
      </w:r>
      <w:r w:rsidR="00000000" w:rsidRPr="00000000" w:rsidDel="00000000">
        <w:rPr>
          <w:rtl w:val="0"/>
        </w:rPr>
        <w:t xml:space="preserve"> apakšpunktā norādīto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stājies spēkā lēmums par atbalsta piešķiršanu, pirmsinkubācijas periodam nepārsniedzot vienu gadu un inkubācijas atbalsta periodam – trīs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biznesa inkubācijas pakalpojuma saņemšanai piedalās finansējuma saņēmēja, pašvaldības, augstskolas, komersantu organizācijas un atbildīgās iestādes pārstāvji ar vienu balsi no katras organizācijas. Papildus piesaistītie nozaru eksperti un pārējie dalībnieki ir ar novērotāja tiesībām.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Aktivitātes mērķa grupa ir gala labuma guvēji – Latvijas Republikas komercreģistrā reģistrēti komersanti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kas atbilst sīkā (mikro), mazā vai vidējā saimnieciskās darbības subjekta statusam saskaņā ar regulas Nr. 651/2014 2. panta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(informācijas sagatavošanai un vietnes meklētāja optimizācijai), izmaksas saistībā ar informācijas pielāgošanu ārvalstu tirgiem (tulkošanas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shd w:fill="#ffffff" w:val="clea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w:t>
      </w:r>
      <w:r w:rsidR="00000000" w:rsidRPr="00000000" w:rsidDel="00000000">
        <w:rPr>
          <w:rtl w:val="0"/>
        </w:rPr>
        <w:t xml:space="preserve">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2021/1060 47.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komersants neatbilst minētajam nosacījumam, finansējuma saņēmējs atbalstu nepiešķir.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Komisijas regula Nr. 2018/1046), 61. panta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Komisijas regulas Nr. 2018/1046 132.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pēc atbildīgās iestādes pieprasījuma 10 darbdienu laikā iesniedz atbildīgajai iestādei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komersantu samaksāto nodokļu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komersantu līdzfinansējuma avotu un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komersantu eksporta apjomu;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ārvalstu dalībnieku skaitu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radīto augstas pievienotās vērtības produktu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saņēmušo komersantu piesaistīto investīciju apjomu;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saņēmušo komersantu dalībnieku – sieviešu un vīriešu – skaitu valdēs;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punkta ietvaros noteikto sadarbību un tās rezultātiem.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Komisijas regulas Nr. 2018/1046, Eiropas Parlamenta un Padomes 2014. gada 26. februāra Direktīvas Nr. 2014/24/ES par publisko iepirkumu un ar ko atceļ Direktīvu 2004/18/EK, likuma "Par interešu konflikta novēršanu valsts amatpersonu darbībā" un Eiropas Komisijas 2021. gada 9.aprīļa paziņojuma Nr. C/2021/2119 norādījumu par izvairīšanos no interešu konfliktiem un to pārvaldību saskaņā ar Finanšu regulu un apņemas to ievērot;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punktā minētajiem gala labuma guvējiem – šo noteikumu </w:t>
      </w:r>
      <w:r w:rsidR="00000000" w:rsidRPr="00000000" w:rsidDel="00000000">
        <w:rPr>
          <w:rtl w:val="0"/>
        </w:rPr>
        <w:t xml:space="preserve">18.4.</w:t>
      </w:r>
      <w:r w:rsidR="00000000" w:rsidRPr="00000000" w:rsidDel="00000000">
        <w:rPr>
          <w:shd w:fill="#ffffff" w:val="clea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w:t>
      </w:r>
      <w:r w:rsidR="00000000" w:rsidRPr="00000000" w:rsidDel="00000000">
        <w:rPr>
          <w:i w:val="1"/>
          <w:rtl w:val="0"/>
        </w:rPr>
        <w:t xml:space="preserve"> 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1407/2013, ievērojot prasības normatīvajos aktos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1407/2013,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apakšpunktā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39.4.</w:t>
      </w:r>
      <w:r w:rsidR="00000000" w:rsidRPr="00000000" w:rsidDel="00000000">
        <w:rPr>
          <w:rtl w:val="0"/>
        </w:rPr>
        <w:t xml:space="preserve"> apakšpunktā minētajiem materiāliem finansējuma intensitāte ir 30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minētajam pakalpojumam finansējuma intensitāte ir 50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2021/1060 64. panta 1. punkta "c" apakšpunkta nosacījumiem, ja tas nav atgūstams atbilstoši normatīvajiem aktiem nodokļu politikas jomā.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gala labuma guvējam pirms </w:t>
      </w:r>
      <w:r w:rsidR="00000000" w:rsidRPr="00000000" w:rsidDel="00000000">
        <w:rPr>
          <w:i w:val="1"/>
          <w:rtl w:val="0"/>
        </w:rPr>
        <w:t xml:space="preserve">de minimis</w:t>
      </w:r>
      <w:r w:rsidR="00000000" w:rsidRPr="00000000" w:rsidDel="00000000">
        <w:rPr>
          <w:rtl w:val="0"/>
        </w:rPr>
        <w:t xml:space="preserve"> atbalsta piešķiršanas pārbauda, vai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ievērojot Komisijas regulas Nr. 1407/2013 5. panta 1. un 2.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1407/2013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saskaņā ar Komisijas regulas Nr. 1407/2013 7. panta 4. punktu un 8. pantu var pieņemt līdz šīs regulas darbības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ir piešķirts pēdējais atbalsts saskaņā ar atbalsta shēmu un gala labuma guvējs nodrošina informācijas pieejamību 10 gadus, skaitot no atbalsta piešķiršanas dienas, atbilstoši Komisijas regulas Nr. 1407/2013 6. panta 4.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vienā vai vairākās neatbalstāmajās nozarēs un veic neatbalstāmās darbības vai citas darbības, kas ietilpst Komisijas regulas Nr. 1407/2013 darbības jomā, tas nodrošina šo nozaru darbību vai izmaksu nodalīšanu saskaņā ar Komisijas regulas Nr. 1407/2013 1. panta 2.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1407/2013, komercdarbības gala labuma guvējam ir pienākums atmaksāt atbalsta sniedzējam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brīvi no komercdarbības atbalsta, atbilstoši Komercdarbības atbalsta kontroles likuma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nepiešķir gala labuma guvējam </w:t>
      </w:r>
      <w:r w:rsidR="00000000" w:rsidRPr="00000000" w:rsidDel="00000000">
        <w:rPr>
          <w:i w:val="1"/>
          <w:rtl w:val="0"/>
        </w:rPr>
        <w:t xml:space="preserve">de minimis</w:t>
      </w:r>
      <w:r w:rsidR="00000000" w:rsidRPr="00000000" w:rsidDel="00000000">
        <w:rPr>
          <w:rtl w:val="0"/>
        </w:rPr>
        <w:t xml:space="preserve"> atbalstu, ja </w:t>
      </w:r>
      <w:r w:rsidR="00000000" w:rsidRPr="00000000" w:rsidDel="00000000">
        <w:rPr>
          <w:i w:val="1"/>
          <w:rtl w:val="0"/>
        </w:rPr>
        <w:t xml:space="preserve">de minimis</w:t>
      </w:r>
      <w:r w:rsidR="00000000" w:rsidRPr="00000000" w:rsidDel="00000000">
        <w:rPr>
          <w:rtl w:val="0"/>
        </w:rPr>
        <w:t xml:space="preserve"> atbalsts ir saistīts ar kādu no Komisijas regulas Nr. 1407/2013 1. panta 1. un 2. punktā un Eiropas Parlamenta un Padomes 2021. gada 24. jūnija Regulas (ES) Nr. 2021/1058 par Eiropas Reģionālās attīstības fondu un Kohēzijas fondu 7. panta 1. punktā noteiktajām nozarēm un darbībām un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noteiktajām nozarēm un darbībām.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ministra pienākumu izpildītājs ‒ 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22-TA-1353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22-TA-1353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noteikumu_projekts_22-TA-1353.docx</dc:title>
</cp:coreProperties>
</file>

<file path=docProps/custom.xml><?xml version="1.0" encoding="utf-8"?>
<Properties xmlns="http://schemas.openxmlformats.org/officeDocument/2006/custom-properties" xmlns:vt="http://schemas.openxmlformats.org/officeDocument/2006/docPropsVTypes"/>
</file>