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711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15. novembrī (prot. Nr. 57 13.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24. maija noteikumos Nr. 322 "Darbības programmas "Izaugsme un nodarbinātība" prioritārā virziena "Vides aizsardzības un resursu izmantošanas efektivitāte" 5.5.1. specifiskā atbalsta mērķa "Saglabāt, aizsargāt un attīstīt nozīmīgu kultūras un dabas mantojumu, kā arī attīstīt ar to saistītos pakalpojumus" pirmās un otrās atlases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w:t>
      </w:r>
      <w:r>
        <w:br/>
      </w:r>
      <w:r w:rsidR="00000000" w:rsidRPr="00000000" w:rsidDel="00000000">
        <w:rPr>
          <w:rStyle w:val="paragraph"/>
          <w:i w:val="1"/>
          <w:rtl w:val="0"/>
        </w:rPr>
        <w:t xml:space="preserve"> struktūrfondu un Kohēzijas fonda</w:t>
      </w:r>
      <w:r>
        <w:br/>
      </w:r>
      <w:r w:rsidR="00000000" w:rsidRPr="00000000" w:rsidDel="00000000">
        <w:rPr>
          <w:rStyle w:val="paragraph"/>
          <w:i w:val="1"/>
          <w:rtl w:val="0"/>
        </w:rPr>
        <w:t xml:space="preserve">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24. maija noteikumos Nr. 322 "Darbības programmas "Izaugsme un nodarbinātība" prioritārā virziena "Vides aizsardzības un resursu izmantošanas efektivitāte" 5.5.1. specifiskā atbalsta mērķa "Saglabāt, aizsargāt un attīstīt nozīmīgu kultūras un dabas mantojumu, kā arī attīstīt ar to saistītos pakalpojumus" pirmās un otrās atlases kārtas īstenošanas noteikumi" (Latvijas Vēstnesis, 2016, 110. nr.; 2017, 107. nr.; 2018, 43. nr.; 2020, 11. nr.; 2021, 181.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Projektu īsteno saskaņā ar vienošanos par projekta īstenošanu, bet ne ilgāk kā līdz 2023. gada 31.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55.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vertAlign w:val="superscript"/>
          <w:rtl w:val="0"/>
        </w:rPr>
        <w:t xml:space="preserve">1</w:t>
      </w:r>
      <w:r w:rsidR="00000000" w:rsidRPr="00000000" w:rsidDel="00000000">
        <w:rPr>
          <w:rtl w:val="0"/>
        </w:rPr>
        <w:t xml:space="preserve"> Ja sadarbības iestāde atbalstītajā objektā konstatē valsts atbalstu komercdarbībai, tā par to informē finansējuma saņēmēju, un finansējuma saņēmējs 10 darbdienu laikā no informācijas pieprasījuma nosūtīšanas brīža sniedz sadarbības iestādei  informāciju, norādot, vai par tām pašām attiecināmajām izmaksām ir plānots piešķirt atbalstu, vai, ja tas jau ir piešķirts, norādot atbalsta piešķiršanas datumu, atbalsta sniedzēja nosaukumu, atbalsta pasākumu, plānoto vai piešķirto atbalsta summu un atbalsta intensitāti."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61.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Ja ir pārkāptas Komisijas regulas Nr. 651/2014 prasības vai konstatēts, ka ar saimniecisko darbību nesaistīts projekts tā ieviešanas gaitā vai projekta pārskata periodā (projekta dzīves cikla laikā) kļūst par projektu, kas saistīts ar saimniecisko darbību, un tam nav iespējams piemērot Komisijas regulas Nr. 651/2014 53. panta nosacījumus, atbalsta saņēmējam ir pienākums sadarbības iestādei atmaksāt saņemto nelikumīgo komercdarbības atbalstu no līdzekļiem, kas ir brīvi no valsts atbalsta, atbilstoši Komercdarbības atbalsta kontroles likuma IV vai V nodaļas nosacījumiem."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N. Puntulis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22-TA-2455</w:t>
    </w:r>
    <w:r>
      <w:br/>
    </w:r>
    <w:r w:rsidR="00000000" w:rsidRPr="00000000" w:rsidDel="00000000">
      <w:rPr>
        <w:rtl w:val="0"/>
      </w:rPr>
      <w:t xml:space="preserve">Izdrukāts 29.07.2026. 22.05 - 1.0.VK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22-TA-2455</w:t>
    </w:r>
    <w:r>
      <w:br/>
    </w:r>
    <w:r w:rsidR="00000000" w:rsidRPr="00000000" w:rsidDel="00000000">
      <w:rPr>
        <w:rtl w:val="0"/>
      </w:rPr>
      <w:t xml:space="preserve">Izdrukāts 29.07.2026. 22.05 - 1.0.VK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noteikumu_(grozījumu)_projekts_22-TA-2455.docx</dc:title>
</cp:coreProperties>
</file>

<file path=docProps/custom.xml><?xml version="1.0" encoding="utf-8"?>
<Properties xmlns="http://schemas.openxmlformats.org/officeDocument/2006/custom-properties" xmlns:vt="http://schemas.openxmlformats.org/officeDocument/2006/docPropsVTypes"/>
</file>