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pasākumu "Pieeja tiesiskumam"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izveidot attīstītu valsts nodrošinātā juridiskā atbalsta sistēmu, paplašinot mazāk aizsargāto personu piekļuvi tiesu sistēmai, paredzot savlaicīgu un iedzīvotājiem pieejamu juridiskā atbalsta sniegšanu, lai preventīvi novērstu gadījumus, kad juridisko jautājumu nerisināšana negatīvi ietekmē iedzīvotāju sociālo un ekonomisko situāciju un pakļauj viņus nabadzības un (vai) sociālās atstumtības riskam.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tiešās mērķa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Tiesu administrācija, kuras funkcijas un uzdevumi ir vērsti uz mazaizsargāto un cietušo personu tiesību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nodrošinātās juridiskās palīdzības sistēmai piederīgās personas un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nevalstiskās organizācijas;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netiešās mērķa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nabadzības un sociālās atstumtības riskam pakļautās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grupas, kurām identificēti šķēršļi pieejai tiesiskumam.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rādītāja starpposma vērtība: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nodarbinātas personas, tostarp pašnodarbinātas personas, – 50;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 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rādītāja vērtība: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nodarbinātas personas, tostarp pašnodarbinātas personas, – 500;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rādītāja vērtība: izsniegtie sertifikāti par apmācību kursu profesionālo kompetenču līmeņa paaugstināšanā – 350.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ESF+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Tieslietu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plānotais kopējais attiecināmais finansējums ir 1 305 000 </w:t>
      </w:r>
      <w:r w:rsidR="00000000" w:rsidRPr="00000000" w:rsidDel="00000000">
        <w:rPr>
          <w:i w:val="1"/>
          <w:rtl w:val="0"/>
        </w:rPr>
        <w:t xml:space="preserve">euro </w:t>
      </w:r>
      <w:r w:rsidR="00000000" w:rsidRPr="00000000" w:rsidDel="00000000">
        <w:rPr>
          <w:rtl w:val="0"/>
        </w:rPr>
        <w:t xml:space="preserve">(no tā elastības finansējums – 205 896 </w:t>
      </w:r>
      <w:r w:rsidR="00000000" w:rsidRPr="00000000" w:rsidDel="00000000">
        <w:rPr>
          <w:i w:val="1"/>
          <w:rtl w:val="0"/>
        </w:rPr>
        <w:t xml:space="preserve">euro</w:t>
      </w:r>
      <w:r w:rsidR="00000000" w:rsidRPr="00000000" w:rsidDel="00000000">
        <w:rPr>
          <w:rtl w:val="0"/>
        </w:rPr>
        <w:t xml:space="preserve">), tai skaitā ESF+ finansējums – 1 109 250 </w:t>
      </w:r>
      <w:r w:rsidR="00000000" w:rsidRPr="00000000" w:rsidDel="00000000">
        <w:rPr>
          <w:i w:val="1"/>
          <w:rtl w:val="0"/>
        </w:rPr>
        <w:t xml:space="preserve">euro </w:t>
      </w:r>
      <w:r w:rsidR="00000000" w:rsidRPr="00000000" w:rsidDel="00000000">
        <w:rPr>
          <w:rtl w:val="0"/>
        </w:rPr>
        <w:t xml:space="preserve">(no tā elastības finansējums – 175 012 </w:t>
      </w:r>
      <w:r w:rsidR="00000000" w:rsidRPr="00000000" w:rsidDel="00000000">
        <w:rPr>
          <w:i w:val="1"/>
          <w:rtl w:val="0"/>
        </w:rPr>
        <w:t xml:space="preserve">euro</w:t>
      </w:r>
      <w:r w:rsidR="00000000" w:rsidRPr="00000000" w:rsidDel="00000000">
        <w:rPr>
          <w:rtl w:val="0"/>
        </w:rPr>
        <w:t xml:space="preserve">) un valsts budžeta līdzfinansējums – ne mazāk kā 195 750 </w:t>
      </w:r>
      <w:r w:rsidR="00000000" w:rsidRPr="00000000" w:rsidDel="00000000">
        <w:rPr>
          <w:i w:val="1"/>
          <w:rtl w:val="0"/>
        </w:rPr>
        <w:t xml:space="preserve">euro </w:t>
      </w:r>
      <w:r w:rsidR="00000000" w:rsidRPr="00000000" w:rsidDel="00000000">
        <w:rPr>
          <w:rtl w:val="0"/>
        </w:rPr>
        <w:t xml:space="preserve">(no tā elastības finansējums – 30 884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pasākuma īstenošanai kopējo pasākumā pieejamo finansējumu plāno ne vairāk kā 1 099 104 </w:t>
      </w:r>
      <w:r w:rsidR="00000000" w:rsidRPr="00000000" w:rsidDel="00000000">
        <w:rPr>
          <w:i w:val="1"/>
          <w:rtl w:val="0"/>
        </w:rPr>
        <w:t xml:space="preserve">euro </w:t>
      </w:r>
      <w:r w:rsidR="00000000" w:rsidRPr="00000000" w:rsidDel="00000000">
        <w:rPr>
          <w:rtl w:val="0"/>
        </w:rPr>
        <w:t xml:space="preserve">apmērā, tai skaitā ESF+ finansējumu – 934 238 </w:t>
      </w:r>
      <w:r w:rsidR="00000000" w:rsidRPr="00000000" w:rsidDel="00000000">
        <w:rPr>
          <w:i w:val="1"/>
          <w:rtl w:val="0"/>
        </w:rPr>
        <w:t xml:space="preserve">euro </w:t>
      </w:r>
      <w:r w:rsidR="00000000" w:rsidRPr="00000000" w:rsidDel="00000000">
        <w:rPr>
          <w:rtl w:val="0"/>
        </w:rPr>
        <w:t xml:space="preserve">apmērā, valsts budžeta līdzfinansējumu – 164 866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9.</w:t>
      </w:r>
      <w:r w:rsidR="00000000" w:rsidRPr="00000000" w:rsidDel="00000000">
        <w:rPr>
          <w:rtl w:val="0"/>
        </w:rPr>
        <w:t xml:space="preserve"> punkta</w:t>
      </w:r>
      <w:r w:rsidR="00000000" w:rsidRPr="00000000" w:rsidDel="00000000">
        <w:rPr>
          <w:rtl w:val="0"/>
        </w:rPr>
        <w:t xml:space="preserve"> ievaddaļā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kā pēc vienošanās par projekta īstenošanu noslēgšanas.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Tiesu administrācija – Tieslietu ministrijas padotības iestāde, kuras virsmērķis ir nodrošināt mazaizsargāto personu pieeju taisnīgai tiesas aizsardzībai, nodrošinot valsts garantētu pakalpojumu – juridiskās palīdzības un finansiālā atbalsta saņemšanu, izveidot taisnīgu un atbilstošu valsts kompensācijas mehānismu noziedzīgos nodarījumos cietušajiem, kā arī nodrošināt noziedzīgos nodarījumos cietušos ar informatīvu atbalstu.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 izmantojot Kohēzijas politikas fondu vadības informācijas sistēmu. Projekta iesniedzējs, kura projekta iesniegums ir apstiprināts, ir ESF+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nodrošina, ka tiek novērsta iespējamā investīciju pārklāšanās, savstarpēji papildinošu investīciju gadījumā novēršot dubultā finansējuma risku, un ka vienas un tās pašas vai līdzīgas atbalstāmās darbības nav plānots finansēt no vairākiem valsts un ārvalstu finanšu avotiem, ievērojot kumulācijas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nodrošinātās juridiskās palīdzības sistēmas reformēšana un efektivizēšana, kas vērsta uz mazaizsargāto un cietušo personu atbalstu, nodrošinot minēto personu savlaicīgu pieeju tiesiskumam;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risinājumi savlaicīgai juridisko problēmu konstatēšanai un atrisināšanai;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esošu un jaunu informācijas tehnoloģiju un digitālo risinājumu attīstīšana, lai efektīvāk nodrošinātu sociāli mazaizsargāto personu tiesības, tostarp iestāžu savstarpējās sadarbības efektivizēšana;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pasākumi mērķgrupas informēšanai par valsts nodrošinātās juridiskās palīdzības pakalpojumu saņemšanu, lai paaugstinātu mērķgrupas kompetenci un izpratni par juridiska rakstura strīdu savlaicīgas risināšanas nozīmīgumu, kā arī informēšanai par valsts nodrošinātās juridiskās palīdzības sistēmā iesaistīto personu apmācībām kompetenču un prasmju līmeņa paaugstināšanai;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komunikācijas un vizuālās identitātes prasību nodrošināšanas nosacījumu izpilde.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(projekta vadības personāla izmaksas) šo noteikumu 15. punktā minēto darbību īstenošanai. Izmaksas ir attiecināmas atbilstoši faktisko izmaksu metodei;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un iepirkuma līgumu izmaksas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(izņemot šo noteikumu </w:t>
      </w:r>
      <w:r w:rsidR="00000000" w:rsidRPr="00000000" w:rsidDel="00000000">
        <w:rPr>
          <w:rtl w:val="0"/>
        </w:rPr>
        <w:t xml:space="preserve">15.5.</w:t>
      </w:r>
      <w:r w:rsidR="00000000" w:rsidRPr="00000000" w:rsidDel="00000000">
        <w:rPr>
          <w:rtl w:val="0"/>
        </w:rPr>
        <w:t xml:space="preserve"> apakšpunktu</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mācību un darba braucienu izmaksas, tai skaitā projekta vadības personālam, šo noteikumu 15.1., 15.2., 15.4. un 15.5. apakšpunktā minēto atbalstāmo darbību īstenošanai, piemērojot vadošās iestādes izstrādātās vienas vienības izmaksu metodikas "Vienas vienības izmaksu standarta likmes aprēķina un piemērošanas metodika iekšzemes komandējumu izmaksām darbības programmas "Izaugsme un nodarbinātība" un Eiropas Savienības kohēzijas politikas programmas 2021.–2027. gadam īstenošanai" un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projekta vadītājam, kā arī šo noteikumu 3. punktā minēto mērķa grupu personām šo noteikumu 15.1., 15.2., 15.4. un 15.5. apakšpunktā minēto atbalstāmo darbību īstenošanai. Ārvalstu komandējumu izmaksas aprēķina un atlīdzina atbilstoši normatīvajiem aktiem par kārtību, kādā atlīdzināmi ar ārvalstu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semināru un konferenču organizēšanas un ar to saistīto materiālu nodrošināšanas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īres vai nomas izmaksas (tai skaitā aprīkojuma uzturēšanas un remonta izmaksas) ir attiecināmas projekta vadības personālam jaunu darba vietu radīšanai vai gadījumos,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projekta vadības personāls ir nodarbināts pilnu darba laiku, darba vietas aprīkojuma iegādes vai nomas izmaksas ir attiecināmas 100 procentu apmērā; ja projekta vadības personāls ir nodarbināts nepilnu darba laiku vai daļlaiku, darba vietas aprīkojuma iegādes izmaksas ir attiecināmas proporcionāli atlīdzības procentuālajam sadalījumam šo noteikumu 15.5. apakšpunktā minēto atbalstāmo darbību īstenošanai. Daļlaika izmaksu attiecināšanas principa gadījumā ņem vērā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telpu, materiāltehnisko līdzekļu un aprīkojuma īres vai nomas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biroja, kancelejas preču, iekārtu un inventāra (tai skaitā palīgmateriālu) izmaksas līdz 500 </w:t>
      </w:r>
      <w:r w:rsidR="00000000" w:rsidRPr="00000000" w:rsidDel="00000000">
        <w:rPr>
          <w:i w:val="1"/>
          <w:rtl w:val="0"/>
        </w:rPr>
        <w:t xml:space="preserve">euro </w:t>
      </w:r>
      <w:r w:rsidR="00000000" w:rsidRPr="00000000" w:rsidDel="00000000">
        <w:rPr>
          <w:rtl w:val="0"/>
        </w:rPr>
        <w:t xml:space="preserve">apmērā par vienību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izpildes nodrošināšanas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47. un 50. pantu,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 šo noteikumu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materiāltehniskā nodrošinājuma (tai skaitā pamatlīdzekļu) iegādes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atbalstāmo darbību īstenošanai, ja iegāde ir izdevīgāka nekā materiāltehniskā nodrošinājuma īres vai nomas izmaksas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pandusu nomas, indukcijas cilpu nomas, zīmju valodas tulku un vieglās valodas tulkošanas pakalpojumu izmaksas, jomas konsultantu izmaksas, subtitrēšanas un reāllaika transkripcijas pakalpojumu izmaksas, ja tās ir nepieciešamas vides un informācijas pieejamības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attiecināmajām izmaksām atbilstoši regulas  </w:t>
      </w:r>
      <w:r w:rsidR="00000000" w:rsidRPr="00000000" w:rsidDel="00000000">
        <w:rPr>
          <w:rtl w:val="0"/>
        </w:rPr>
        <w:t xml:space="preserve">2021/1060</w:t>
      </w:r>
      <w:r w:rsidR="00000000" w:rsidRPr="00000000" w:rsidDel="00000000">
        <w:rPr>
          <w:rtl w:val="0"/>
        </w:rPr>
        <w:t xml:space="preserve"> 64. panta 1. punkta "c" apakšpunktam.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īstenošanā tiek piemērota netiešo izmaksu vienotā likme kā viena izmaksu pozīcija 15 procentu apmērā no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minētajām izmaksām, tām piemēro atbildīgās iestādes vai vadošās iestādes izstrādāto metodiku.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iesnieguma vērtēšanā piedalās divi atbildīgās iestādes pārstāvji, viens Tieslietu ministrijas pārstāvis un sadarbības iestādes pārstāvji, bet vadošās iestādes pārstāvis, ja nepieciešams,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rezultatīvo un iznākuma rādītāju uzskaiti un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atbalstāmo darbību norisi, pasākuma ietvaros apstrādā pasākuma īstenošanā iesaistīto valsts nodrošinātās juridiskās palīdzības sistēmai piederīgo personu datus attiecīgās darbības veikšanai nepieciešamajā apjomā.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prasību nosacījumu izpildi saskaņā ar regulas  </w:t>
      </w:r>
      <w:r w:rsidR="00000000" w:rsidRPr="00000000" w:rsidDel="00000000">
        <w:rPr>
          <w:rtl w:val="0"/>
        </w:rPr>
        <w:t xml:space="preserve">2021/1060</w:t>
      </w:r>
      <w:r w:rsidR="00000000" w:rsidRPr="00000000" w:rsidDel="00000000">
        <w:rPr>
          <w:rtl w:val="0"/>
        </w:rPr>
        <w:t xml:space="preserve"> 47. un 50. pantu,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informāciju par tiešo atbalstu saņēmušajām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personām un reizi gadā iesniedz sadarbības iestādē apkopotus datus par ESF+ kopējiem tūlītējiem rezultāta rādītājiem atbilstoši Eiropas Parlamenta un Padomes 2021. gada 24. jūnija Regulas (ES) 2021/1057, ar ko izveido Eiropas Sociālo fondu Plus (ESF+) un atceļ Regulu (ES) Nr. 1296/2013, 1. pielikumam un saskaņā ar Ministru kabineta 2023. gada 21. marta noteikumu Nr. 135 "Eiropas Savienības fondu projektu pārbaužu veikšanas kārtība 2021.–2027. gada plānošanas periodā" 1. pielikumu, ievērojot, ka: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darbību ietvaros plānotajās apmācībās piedalās persona, kura nav ietverta rezultatīvo un iznākuma rādītāju uzskaitē, tad, lai nodrošinātu izmaksu attiecināmību, no tās tiks ievākti šādi personas dati: vārds, uzvārds, amats, organizācijas 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tiek uzglabāti atbilstoši termiņam, ko nosaka vienošanās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vispārīgās un specifiskās darbības, kas veicina vienlīdzību, iekļaušanu, nediskrimināciju un pamattiesību ievērošanu, īpaši valsts nodrošinātās juridiskās palīdzības pakalpojumu sniegšanas jomā strādājošo izpratnes un informētības paaugstināšanas pasākumu īstenošanu, lai novērstu diskrimināciju invaliditātes, vecuma, dzimuma, etniskās piederības un citu pazīmju dēļ un ievērotu vienlīdzīgu iespēju principu, tostarp uzkrāj datus par horizontālā principa rādītāju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gaitā elektroniski informē atbildīgo iestādi par visām ar projektu saistītajām izmaiņām un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retāk kā reizi sešos mēnešos ievieto savā tīmekļvietnē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projekta īstenošanas beigām nodrošina, ka šo noteikumu </w:t>
      </w:r>
      <w:r w:rsidR="00000000" w:rsidRPr="00000000" w:rsidDel="00000000">
        <w:rPr>
          <w:rtl w:val="0"/>
        </w:rPr>
        <w:t xml:space="preserve">17.2.9.</w:t>
      </w:r>
      <w:r w:rsidR="00000000" w:rsidRPr="00000000" w:rsidDel="00000000">
        <w:rPr>
          <w:rtl w:val="0"/>
        </w:rPr>
        <w:t xml:space="preserve"> apakšpunktā</w:t>
      </w:r>
      <w:r w:rsidR="00000000" w:rsidRPr="00000000" w:rsidDel="00000000">
        <w:rPr>
          <w:rtl w:val="0"/>
        </w:rPr>
        <w:t xml:space="preserve"> minētie materiāltehniskie līdzekļi, kas iegādāti projekta ietvaros, ir finansējuma saņēmēja īpašumā, ievērojot pamatlīdzekļu nolietojuma normas un lietošanas nosacījumus atbilstoši normatīvajiem aktiem, kas nosaka kārtību, kādā budžeta iestādes kārto grāmatvedības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ietvaros nepieciešamos ārpakalpojumus pērk, ievērojot normatīvos aktus publisko iepirkumu jomā, īstenojot atklātu, pārredzamu, nediskriminējošu un konkurenci nodrošinošu procedūru, un, ja attiecināms, īsteno sociāli atbildīgu iepirkumu un inovatīvu publisko iepirkumu;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projekta īstenošanas laikā tiek ievērots princips "Nenodarīt būtisku kaitējumu", paredzot atbilstošas prasības līgumos ar piegādātājiem un pakalpojumu sniedzējiem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kārtību, kādā pārliecinās par interešu konflikta, krāpšanas un korupcijas risku neesību (ievērojot Eiropas Parlamenta un Padomes 2024. gada 23. septembra Regulas (ES, Euratom) 2024/2509 par finanšu noteikumiem, ko piemēro Savienības vispārējam budžetam (pārstrādāta redakcija), 61. pantu un normatīvos aktus publisko iepirkumu jomā), kā arī izstrādā un paraksta apliecinājumu par interešu konflikta neesību.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izstrādā, saskaņo ar atbildīgo iestādi un apstiprina projekta uzraudzības komitejas nolikumu, kurā detalizēti norāda uzraudzības komitejas personālsastāvu, funkcijas, tiesības un pienākumus.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uzraudzītu projekta īstenošanu, finansējuma saņēmējs mēneša laikā pēc vienošanās par projekta īstenošanu noslēgšanas izveido projekta uzraudzības komiteju, kuru vada finansējuma saņēmēja vadītājs vai viņa vietnieks. Projekta uzraudzības komitejā piedalās divi finansējuma saņēmēja pārstāvji un divi atbildīgās iestādes pārstāvji. Sadarbības iestāde un Tieslietu ministrija kā nozares ministrija var deleģēt pārstāvjus projekta uzraudzības komitejā novērotāju statusā. Pēc projekta uzraudzības komitejas priekšsēdētāja uzaicinājuma sēdē var piedalīties arī citu valsts institūciju amatpersonas un darbinieki, nevalstisko organizāciju pārstāvji, eksperti un citi speciālisti bez balsstiesībām.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uzraudzības komitejas sanāksmes rīko ne retāk kā reizi trijos mēnešos. Atbildīgā iestāde, ja nepieciešams, var pieprasīt finansējuma saņēmējam sasaukt projekta uzraudzības komitejas ārkārtas sēdi, kā arī ierosināt jautājumu izskatīšanu projekta uzraudzības komitejas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25-TA-677</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25-TA-677</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noteikumu_konsolidētā_versija_25-TA-677.docx</dc:title>
</cp:coreProperties>
</file>

<file path=docProps/custom.xml><?xml version="1.0" encoding="utf-8"?>
<Properties xmlns="http://schemas.openxmlformats.org/officeDocument/2006/custom-properties" xmlns:vt="http://schemas.openxmlformats.org/officeDocument/2006/docPropsVTypes"/>
</file>