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"Jakari" Vecumnieku pagastā, Bauskas novadā, daļas pirkšanu valsts reģionālā autoceļa P88 "Bauska–Linde" posma 25,33.–28,26. km un valsts vietējā autoceļa V1011 "Pārslas–Misa–Šarlotes" posma 7,84.–9,74. km un posma 11,24.–12,82.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"Jakari" (nekustamā īpašuma kadastra Nr. 4094 011 0075) daļu – zemes vienību (zemes vienības kadastra apzīmējums 4094 011 0181) 0,03 ha platībā – Vecumnieku pagastā, Bauskas novadā, kas  nepieciešama valsts reģionālā autoceļa P88 "Bauska–Linde" posma 25,33.–28,26. km un valsts vietējā autoceļa V1011 "Pārslas–Misa–Šarlotes" posma 7,84.–9,74. km un posma 11,24.–12,82.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25-TA-155</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25-TA-155</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rīkojuma_projekts_25-TA-155.docx</dc:title>
</cp:coreProperties>
</file>

<file path=docProps/custom.xml><?xml version="1.0" encoding="utf-8"?>
<Properties xmlns="http://schemas.openxmlformats.org/officeDocument/2006/custom-properties" xmlns:vt="http://schemas.openxmlformats.org/officeDocument/2006/docPropsVTypes"/>
</file>