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"Programmas “Garantijas saimnieciskās darbības veicējiem konkurētspējas uzlabošanai” rādītāju novērtējums"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22-TA-2364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