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Eiropas Savienības fondu 2021.–2027. gada plānošanas perioda vadības likuma 19. panta</w:t>
      </w:r>
      <w:r w:rsidR="00000000" w:rsidRPr="00000000" w:rsidDel="00000000">
        <w:rPr>
          <w:rStyle w:val="paragraph"/>
          <w:i w:val="1"/>
          <w:rtl w:val="0"/>
        </w:rPr>
        <w:t xml:space="preserve"> 6. un 13. punktu</w:t>
      </w:r>
      <w:r>
        <w:br/>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4.3.6.9. pasākumu "Ģimenei draudzīgas vides un sabiedrības veidošana un intervences psiholoģiskā un emocionālā noturīguma veicināšanai"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veidot bērniem un ģimenēm draudzīgu vidi un sadarbībā ar nevalstiskajām organizācijām un darba devējiem veidot ģimenēm ar bērniem atbalstošu sabiedrību, īstenojot pasākumus un atbalsta programmas psiholoģiskā un emocionālā noturīguma veicināšanai, radot priekšnoteikumus pozitīvai bērnu attīstībai un sociālajai integrācijai un ļaujot īstenot viņu potenciālu veiksmīgai dzīvei.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kuru aprūpē ir 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ar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vispārējo un profesionālo izglītības iestāžu pedagogi un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nevalstiskās organizācijas.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 īsteno ierobežotas projektu iesniegumu atlases veidā divās iesniegumu atlases kārtās, katrā kārtā iesniedzot vienu projekta iesniegumu par tajā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1500;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4500;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200;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4000;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sasniedzams šāds rezultāta rādītājs – bērni ar attīstības grūtībām, nepietiekamu attīstību vai tās veidošanās risku (kumulatīvais skaits), kuriem veicināta pozitīva attīstība un pašrealizācija, – 8500: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 atbalstu saņēmušo bērnu skaits vecumā līdz 18 gadiem – 4500;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atbalstu saņēmušo bērnu skaits vecumā līdz 18 gadiem – 4000.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15 225 001 </w:t>
      </w:r>
      <w:r w:rsidR="00000000" w:rsidRPr="00000000" w:rsidDel="00000000">
        <w:rPr>
          <w:i w:val="1"/>
          <w:rtl w:val="0"/>
        </w:rPr>
        <w:t xml:space="preserve">euro </w:t>
      </w:r>
      <w:r w:rsidR="00000000" w:rsidRPr="00000000" w:rsidDel="00000000">
        <w:rPr>
          <w:rtl w:val="0"/>
        </w:rPr>
        <w:t xml:space="preserve">(no tā elastības finansējums 2 402 125 </w:t>
      </w:r>
      <w:r w:rsidR="00000000" w:rsidRPr="00000000" w:rsidDel="00000000">
        <w:rPr>
          <w:i w:val="1"/>
          <w:rtl w:val="0"/>
        </w:rPr>
        <w:t xml:space="preserve">euro</w:t>
      </w:r>
      <w:r w:rsidR="00000000" w:rsidRPr="00000000" w:rsidDel="00000000">
        <w:rPr>
          <w:rtl w:val="0"/>
        </w:rPr>
        <w:t xml:space="preserve">), tai skaitā Eiropas Sociālā fonda Plus finansējums 12 941 250 </w:t>
      </w:r>
      <w:r w:rsidR="00000000" w:rsidRPr="00000000" w:rsidDel="00000000">
        <w:rPr>
          <w:i w:val="1"/>
          <w:rtl w:val="0"/>
        </w:rPr>
        <w:t xml:space="preserve">euro </w:t>
      </w:r>
      <w:r w:rsidR="00000000" w:rsidRPr="00000000" w:rsidDel="00000000">
        <w:rPr>
          <w:rtl w:val="0"/>
        </w:rPr>
        <w:t xml:space="preserve">(no tā elastības finansējums 2 041 807 </w:t>
      </w:r>
      <w:r w:rsidR="00000000" w:rsidRPr="00000000" w:rsidDel="00000000">
        <w:rPr>
          <w:i w:val="1"/>
          <w:rtl w:val="0"/>
        </w:rPr>
        <w:t xml:space="preserve">euro</w:t>
      </w:r>
      <w:r w:rsidR="00000000" w:rsidRPr="00000000" w:rsidDel="00000000">
        <w:rPr>
          <w:rtl w:val="0"/>
        </w:rPr>
        <w:t xml:space="preserve">) un valsts budžeta līdzfinansējums 2 283 751 </w:t>
      </w:r>
      <w:r w:rsidR="00000000" w:rsidRPr="00000000" w:rsidDel="00000000">
        <w:rPr>
          <w:i w:val="1"/>
          <w:rtl w:val="0"/>
        </w:rPr>
        <w:t xml:space="preserve">euro </w:t>
      </w:r>
      <w:r w:rsidR="00000000" w:rsidRPr="00000000" w:rsidDel="00000000">
        <w:rPr>
          <w:rtl w:val="0"/>
        </w:rPr>
        <w:t xml:space="preserve">(no tā elastības finansējums 360 318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kārtā plānotais kopējais finansējums Sabiedrības integrācijas fondam ir 9 970 671 </w:t>
      </w:r>
      <w:r w:rsidR="00000000" w:rsidRPr="00000000" w:rsidDel="00000000">
        <w:rPr>
          <w:i w:val="1"/>
          <w:rtl w:val="0"/>
        </w:rPr>
        <w:t xml:space="preserve">euro</w:t>
      </w:r>
      <w:r w:rsidR="00000000" w:rsidRPr="00000000" w:rsidDel="00000000">
        <w:rPr>
          <w:rtl w:val="0"/>
        </w:rPr>
        <w:t xml:space="preserve">, ko veido Eiropas Sociālā fonda Plus finansējums 8 475 070 </w:t>
      </w:r>
      <w:r w:rsidR="00000000" w:rsidRPr="00000000" w:rsidDel="00000000">
        <w:rPr>
          <w:i w:val="1"/>
          <w:rtl w:val="0"/>
        </w:rPr>
        <w:t xml:space="preserve">euro </w:t>
      </w:r>
      <w:r w:rsidR="00000000" w:rsidRPr="00000000" w:rsidDel="00000000">
        <w:rPr>
          <w:rtl w:val="0"/>
        </w:rPr>
        <w:t xml:space="preserve">apmērā un valsts budžeta līdzfinansējums 1 495 601 </w:t>
      </w:r>
      <w:r w:rsidR="00000000" w:rsidRPr="00000000" w:rsidDel="00000000">
        <w:rPr>
          <w:i w:val="1"/>
          <w:rtl w:val="0"/>
        </w:rPr>
        <w:t xml:space="preserve">euro </w:t>
      </w:r>
      <w:r w:rsidR="00000000" w:rsidRPr="00000000" w:rsidDel="00000000">
        <w:rPr>
          <w:rtl w:val="0"/>
        </w:rPr>
        <w:t xml:space="preserve">apmērā. Projekta iesniegumā kopējo pieejamo finansējumu plāno ne vairāk kā 8 397 548 </w:t>
      </w:r>
      <w:r w:rsidR="00000000" w:rsidRPr="00000000" w:rsidDel="00000000">
        <w:rPr>
          <w:i w:val="1"/>
          <w:rtl w:val="0"/>
        </w:rPr>
        <w:t xml:space="preserve">euro </w:t>
      </w:r>
      <w:r w:rsidR="00000000" w:rsidRPr="00000000" w:rsidDel="00000000">
        <w:rPr>
          <w:rtl w:val="0"/>
        </w:rPr>
        <w:t xml:space="preserve">apmērā, ko veido Eiropas Sociālā fonda Plus finansējums 7 137 915 </w:t>
      </w:r>
      <w:r w:rsidR="00000000" w:rsidRPr="00000000" w:rsidDel="00000000">
        <w:rPr>
          <w:i w:val="1"/>
          <w:rtl w:val="0"/>
        </w:rPr>
        <w:t xml:space="preserve">euro </w:t>
      </w:r>
      <w:r w:rsidR="00000000" w:rsidRPr="00000000" w:rsidDel="00000000">
        <w:rPr>
          <w:rtl w:val="0"/>
        </w:rPr>
        <w:t xml:space="preserve">apmērā un valsts budžeta finansējums 1 259 633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kārtā plānotais kopējais finansējums Valsts kancelejai ir 5 254 330 </w:t>
      </w:r>
      <w:r w:rsidR="00000000" w:rsidRPr="00000000" w:rsidDel="00000000">
        <w:rPr>
          <w:i w:val="1"/>
          <w:rtl w:val="0"/>
        </w:rPr>
        <w:t xml:space="preserve">euro</w:t>
      </w:r>
      <w:r w:rsidR="00000000" w:rsidRPr="00000000" w:rsidDel="00000000">
        <w:rPr>
          <w:rtl w:val="0"/>
        </w:rPr>
        <w:t xml:space="preserve">, ko veido Eiropas Sociālā fonda Plus finansējums 4 466 180 </w:t>
      </w:r>
      <w:r w:rsidR="00000000" w:rsidRPr="00000000" w:rsidDel="00000000">
        <w:rPr>
          <w:i w:val="1"/>
          <w:rtl w:val="0"/>
        </w:rPr>
        <w:t xml:space="preserve">euro </w:t>
      </w:r>
      <w:r w:rsidR="00000000" w:rsidRPr="00000000" w:rsidDel="00000000">
        <w:rPr>
          <w:rtl w:val="0"/>
        </w:rPr>
        <w:t xml:space="preserve">apmērā un valsts budžeta līdzfinansējums 788 150 </w:t>
      </w:r>
      <w:r w:rsidR="00000000" w:rsidRPr="00000000" w:rsidDel="00000000">
        <w:rPr>
          <w:i w:val="1"/>
          <w:rtl w:val="0"/>
        </w:rPr>
        <w:t xml:space="preserve">euro </w:t>
      </w:r>
      <w:r w:rsidR="00000000" w:rsidRPr="00000000" w:rsidDel="00000000">
        <w:rPr>
          <w:rtl w:val="0"/>
        </w:rPr>
        <w:t xml:space="preserve">apmērā. Projekta iesniegumā kopējo pieejamo finansējumu plāno ne vairāk kā 4 425 328 </w:t>
      </w:r>
      <w:r w:rsidR="00000000" w:rsidRPr="00000000" w:rsidDel="00000000">
        <w:rPr>
          <w:i w:val="1"/>
          <w:rtl w:val="0"/>
        </w:rPr>
        <w:t xml:space="preserve">euro </w:t>
      </w:r>
      <w:r w:rsidR="00000000" w:rsidRPr="00000000" w:rsidDel="00000000">
        <w:rPr>
          <w:rtl w:val="0"/>
        </w:rPr>
        <w:t xml:space="preserve">apmērā, ko veido Eiropas Sociālā fonda Plus finansējums 3 761 528 </w:t>
      </w:r>
      <w:r w:rsidR="00000000" w:rsidRPr="00000000" w:rsidDel="00000000">
        <w:rPr>
          <w:i w:val="1"/>
          <w:rtl w:val="0"/>
        </w:rPr>
        <w:t xml:space="preserve">euro </w:t>
      </w:r>
      <w:r w:rsidR="00000000" w:rsidRPr="00000000" w:rsidDel="00000000">
        <w:rPr>
          <w:rtl w:val="0"/>
        </w:rPr>
        <w:t xml:space="preserve">apmērā un valsts budžeta līdzfinansējums 663 800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pirmās un otrās kārtas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Valsts kanceleja.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Eiropas Sociālā fonda Plus finansējuma saņēmējs, kas pasākuma ietvaros ir Valsts kanceleja un Sabiedrības integrācijas fonds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īstenošanai var piesaistīt sadarbības partnerus – nozaru ministrijas, kuru politika ir saistīta ar pasākuma mērķa sasniegšanu (piemēram, Labklājības ministriju, Izglītības un zinātnes ministriju, Veselības ministriju), vai to padotības iestādes, pašvaldības un nevalstiskās organizācijas, kuru darbības joma ir saistīta ar pasākuma mērķa grupu interešu pārstāvniecību, kā arī darba devējus.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 nodrošina metodisko atbalstu un piedalās pasākuma uzraudzībā tā kvalitatīvai īstenošanai, kā arī var tikt piesaistīti konkrētu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partnerim var piešķirt finansējumu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ar sadarbības partneri slēdz attiecīgi sadarbības līgumu vai vienošanos par sadarbību (turpmāk – sadarbības līgums)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uz projekta iesnieguma iesniegšanas dienu sadarbības līgums nav noslēgts, projekta iesniegumam pievieno finansējuma saņēmēja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veicami norēķini ar sadarbības partneri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sagatavo un iesniedz attiecināmās izmaksas pamatojošos dokumentus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partnera apstiprinājumu, ka projekta ietvaros saņemtais finansējums netiks izmantots saimnieciskās darbības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projekta pieteikuma atbalstāmo darbību aprakstā pamato iekļauto pasākumu un darbību izvēli, ņemot vērā saimnieciski izdevīgākā principa kritērijus, lai nodrošinātu iespējami lielākus ieguvumus pasākuma mērķa grupai vai aptvertu lielāku mērķa grupas dalībnieku skaitu, izmantojot pieejamos projekta resursus.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finansējuma saņēmējam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bērniem un ģimenēm draudzīgas vides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izpratnes veidošana par bērniem un ģimenēm draudzīgu un atbalstošu vidi, tai skaitā nevalstisko organizāciju projektu konkurss reģionālu pasākumu organizēšanai;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daudzbērnu ģimeņu un ģimeņu, kuras aprūpē bērnu ar invaliditāti, godināšana un kopābūšanas veicināšana;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pasākumi ģimenei draudzīgiem darba devējiem, kuri nodrošina ģimenei draudzīgu darba vidi un ģimenēm ar bērniem piedāvā pakalpojumus un produktus ar atvieglotiem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un jauniešu raidījumu pieejamības nodrošināšana bērniem ar funkcionāliem un attīstības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izglītojoši un atbalsta pasākumi bērniem un ģimenēm: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un jauniešu izglītošana, veidojot izpratni par jauniešu savstarpējām attiecībām un veicinot veselīgu savstarpējo attiecību stiprināšanu ģimenēs, tai skaitā par tādām tēmām kā veselīgas savstarpējās attiecības ģimenē, drošas attiecības, savstarpējās attiecības un komunikācija;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vecāku un citu bērnu aprūpē iesaistīto personu izglītošana par savstarpējo attiecību veidošanu ģimenē un vecāku lomu veselīgā bērnu attīstībā;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diskriminācijas un vardarbības mazināšana izglītības iestādēs un e-vidē;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sistēmas izveide bērniem un viņu ģimenēm, kuri saskārušies ar tuvinieku vai draugu nāvi, smagu slimību vai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platformas </w:t>
      </w:r>
      <w:r w:rsidR="00000000" w:rsidRPr="00000000" w:rsidDel="00000000">
        <w:rPr>
          <w:i w:val="1"/>
          <w:rtl w:val="0"/>
        </w:rPr>
        <w:t xml:space="preserve">www.vietagimenei.lv</w:t>
      </w:r>
      <w:r w:rsidR="00000000" w:rsidRPr="00000000" w:rsidDel="00000000">
        <w:rPr>
          <w:rtl w:val="0"/>
        </w:rPr>
        <w:t xml:space="preserve"> pilnveide un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demogrāfijas politikas attīstības vajadzībām nepieciešamo pētījumu īstenošana un pētījumu rezultātu popularizēšana, sekmējot uz pierādījumiem balstītas valsts attīstības politikas izstrādi un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pirmajā kārtā: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izpratnes veidošana par bērniem un ģimenēm draudzīgu un atbalstošu vidi, tai skaitā nevalstisko organizāciju projektu konkurss reģionālu pasākumu organizēšanai;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daudzbērnu ģimeņu un ģimeņu, kuras aprūpē bērnu ar invaliditāti, godināšana un kopābūšanas veicināšana;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pasākumi ģimenei draudzīgiem darba devējiem, kuri nodrošina ģimenei draudzīgu darba vidi un ģimenēm ar bērniem piedāvā pakalpojumus un produktus ar atvieglotiem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un jauniešu raidījumu pieejamības nodrošināšana bērniem ar funkcionāliem un attīstības traucējumiem;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bērnu un jauniešu izglītošana, veidojot izpratni par jauniešu savstarpējām attiecībām un veicinot veselīgu savstarpējo attiecību stiprināšanu ģimenēs, tai skaitā par tādām tēmām kā veselīgas savstarpējās attiecības ģimenē, drošas attiecības, savstarpējās attiecības un komunikācija;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vecāku un citu bērnu aprūpē iesaistīto personu izglītošana par savstarpējo attiecību veidošanu ģimenē un vecāku lomu veselīgā bērnu attīstībā;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platformas </w:t>
      </w:r>
      <w:r w:rsidR="00000000" w:rsidRPr="00000000" w:rsidDel="00000000">
        <w:rPr>
          <w:i w:val="1"/>
          <w:rtl w:val="0"/>
        </w:rPr>
        <w:t xml:space="preserve">www.vietagimenei.lv</w:t>
      </w:r>
      <w:r w:rsidR="00000000" w:rsidRPr="00000000" w:rsidDel="00000000">
        <w:rPr>
          <w:rtl w:val="0"/>
        </w:rPr>
        <w:t xml:space="preserve"> pilnveide un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otrajā kārtā: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demogrāfijas politikas attīstības vajadzībām nepieciešamo pētījumu īstenošana un pētījumu rezultātu popularizēšana, sekmējot uz pierādījumiem balstītas valsts attīstības politikas izstrādi un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diskriminācijas un vardarbības mazināšana izglītības iestādēs un e-vidē;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sistēmas izveide bērniem un viņu ģimenēm, kuri saskārušies ar tuvinieku vai draugu nāvi, smagu slimību vai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kuras veido šo noteikumu </w:t>
      </w:r>
      <w:r w:rsidR="00000000" w:rsidRPr="00000000" w:rsidDel="00000000">
        <w:rPr>
          <w:rtl w:val="0"/>
        </w:rPr>
        <w:t xml:space="preserve">20.5.</w:t>
      </w:r>
      <w:r w:rsidR="00000000" w:rsidRPr="00000000" w:rsidDel="00000000">
        <w:rPr>
          <w:rtl w:val="0"/>
        </w:rPr>
        <w:t xml:space="preserve"> 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pasākuma pirmajā kārtā plāno kā vienu izmaksu pozīciju – vienoto likmi 13 procentu apmērā no pārējām šo noteikumu </w:t>
      </w:r>
      <w:r w:rsidR="00000000" w:rsidRPr="00000000" w:rsidDel="00000000">
        <w:rPr>
          <w:rtl w:val="0"/>
        </w:rPr>
        <w:t xml:space="preserve">7.1.</w:t>
      </w:r>
      <w:r w:rsidR="00000000" w:rsidRPr="00000000" w:rsidDel="00000000">
        <w:rPr>
          <w:rtl w:val="0"/>
        </w:rPr>
        <w:t xml:space="preserve"> apakšpunktā minētajām projekta tiešajām attiecināmajām īstenošanas izmaksām, kas nav tiešās attiecināmās personāla izmaksas, pasākuma otrajā kārtā plāno kā projekta vadības un īstenošanas personāla izmaksu vienas vienības izmaksu standarta likmi atbilstoši atbildīgās iestādes apstiprinātajai vienkāršoto izmaksu metodikai. Minētās atbalstāmās darbības ietvaros ir attiecināmas finansējuma saņēmēja un sadarbības partnera projekta vadības personāla un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tiešās attiecināmās īstenošanas izmaksas –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20.4.</w:t>
      </w:r>
      <w:r w:rsidR="00000000" w:rsidRPr="00000000" w:rsidDel="00000000">
        <w:rPr>
          <w:rtl w:val="0"/>
        </w:rPr>
        <w:t xml:space="preserve">apakšpunktā</w:t>
      </w:r>
      <w:r w:rsidR="00000000" w:rsidRPr="00000000" w:rsidDel="00000000">
        <w:rPr>
          <w:rtl w:val="0"/>
        </w:rPr>
        <w:t xml:space="preserve"> minēto darbību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minētās tiešās attiecināmās izmaksas ietver šādas finansējuma saņēmēja un sadarbības partnera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granti nevalstiskajām organizācijām šo noteikumu </w:t>
      </w:r>
      <w:r w:rsidR="00000000" w:rsidRPr="00000000" w:rsidDel="00000000">
        <w:rPr>
          <w:rtl w:val="0"/>
        </w:rPr>
        <w:t xml:space="preserve">20.1.1.</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granti darba devējiem šo noteikumu </w:t>
      </w:r>
      <w:r w:rsidR="00000000" w:rsidRPr="00000000" w:rsidDel="00000000">
        <w:rPr>
          <w:rtl w:val="0"/>
        </w:rPr>
        <w:t xml:space="preserve">20.1.3.</w:t>
      </w:r>
      <w:r w:rsidR="00000000" w:rsidRPr="00000000" w:rsidDel="00000000">
        <w:rPr>
          <w:rtl w:val="0"/>
        </w:rPr>
        <w:t xml:space="preserve">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20.1.2.</w:t>
      </w:r>
      <w:r w:rsidR="00000000" w:rsidRPr="00000000" w:rsidDel="00000000">
        <w:rPr>
          <w:rtl w:val="0"/>
        </w:rPr>
        <w:t xml:space="preserve">, </w:t>
      </w:r>
      <w:r w:rsidR="00000000" w:rsidRPr="00000000" w:rsidDel="00000000">
        <w:rPr>
          <w:rtl w:val="0"/>
        </w:rPr>
        <w:t xml:space="preserve">20.1.3.</w:t>
      </w:r>
      <w:r w:rsidR="00000000" w:rsidRPr="00000000" w:rsidDel="00000000">
        <w:rPr>
          <w:rtl w:val="0"/>
        </w:rPr>
        <w:t xml:space="preserve">, </w:t>
      </w:r>
      <w:r w:rsidR="00000000" w:rsidRPr="00000000" w:rsidDel="00000000">
        <w:rPr>
          <w:rtl w:val="0"/>
        </w:rPr>
        <w:t xml:space="preserve">20.1.4.</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licenču aprobēšanas, tulkojumu lokalizācijas un pilotēšanas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un pētījumu veikšanas izmaksas šo noteikumu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w:t>
      </w:r>
      <w:r w:rsidR="00000000" w:rsidRPr="00000000" w:rsidDel="00000000">
        <w:rPr>
          <w:rtl w:val="0"/>
        </w:rPr>
        <w:t xml:space="preserve">20.2.3.</w:t>
      </w:r>
      <w:r w:rsidR="00000000" w:rsidRPr="00000000" w:rsidDel="00000000">
        <w:rPr>
          <w:rtl w:val="0"/>
        </w:rPr>
        <w:t xml:space="preserve">, </w:t>
      </w:r>
      <w:r w:rsidR="00000000" w:rsidRPr="00000000" w:rsidDel="00000000">
        <w:rPr>
          <w:rtl w:val="0"/>
        </w:rPr>
        <w:t xml:space="preserve">20.2.4.</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standartizācijas un validācijas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supervīzijas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izdevumi, tai skaitā mācību organizēšanas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IT risinājuma izstrādes un ieviešanas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dalības maksa pasākumos (semināros, konferencēs, mācībās u. c.) atbilstoši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(tai skaitā ārpus Eiropas Savienības) šo noteikumu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w:t>
      </w:r>
      <w:r w:rsidR="00000000" w:rsidRPr="00000000" w:rsidDel="00000000">
        <w:rPr>
          <w:rtl w:val="0"/>
        </w:rPr>
        <w:t xml:space="preserve">20.2.3.</w:t>
      </w:r>
      <w:r w:rsidR="00000000" w:rsidRPr="00000000" w:rsidDel="00000000">
        <w:rPr>
          <w:rtl w:val="0"/>
        </w:rPr>
        <w:t xml:space="preserve">, </w:t>
      </w:r>
      <w:r w:rsidR="00000000" w:rsidRPr="00000000" w:rsidDel="00000000">
        <w:rPr>
          <w:rtl w:val="0"/>
        </w:rPr>
        <w:t xml:space="preserve">20.2.4.</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projekta vadītājam un īstenošanas personālam. Ārvalstu komandējumu izmaksas finansējuma saņēmēja projekta vadītājam un projekta īstenošanas personālam aprēķina un atlīdzina atbilstoši normatīvajiem aktiem, kas nosaka </w:t>
      </w:r>
      <w:r w:rsidR="00000000" w:rsidRPr="00000000" w:rsidDel="00000000">
        <w:rPr>
          <w:rtl w:val="0"/>
        </w:rPr>
        <w:t xml:space="preserve">kārtību, kādā atlīdzināmi ar komandējumiem saistītie izdevumi</w:t>
      </w:r>
      <w:r w:rsidR="00000000" w:rsidRPr="00000000" w:rsidDel="00000000">
        <w:rPr>
          <w:rtl w:val="0"/>
        </w:rPr>
        <w:t xml:space="preserve">, ja tās ir tieši saistītas ar projekta mērķi un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minēto atbalstāmo darbību īstenošanai. Iekšzemes komandējumu izmaksas tiek segtas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 un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tai skaitā sadarbības partnera personāls, ir nodarbināts projektā vismaz 30 procentu apmērā no normālā darba laika uz darba līguma pamata vai ja esošo darba vietu aprīkojums ir nolietojies un tiek norakstīts. Ja projekta vadības un īstenošanas personāls, tai skaitā sadarbības partnera personāls, ir nodarbināts nepilnu darba laiku vai daļlaiku, darba vietas aprīkojuma izmaksas ir attiecināmas proporcionāli atlīdzības procentuālajam sadalījumam. Ja darbinieks strādā daļlaiku, tad papildus jāņem vērā darbinieka iesaistes periods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transporta pakalpojumu izmaksas (maksa par degvielu un maksa par sabiedriskā transporta izmantošanu) sedz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savukārt izdevumus par transportlīdzekļu nomu, transporta pakalpojumu pirkšanu, kā arī transportlīdzekļa (tai skaitā specializētā) pakalpojumu pirkšanu sedz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izmaksas atbilstoši šo noteikumu </w:t>
      </w:r>
      <w:r w:rsidR="00000000" w:rsidRPr="00000000" w:rsidDel="00000000">
        <w:rPr>
          <w:rtl w:val="0"/>
        </w:rPr>
        <w:t xml:space="preserve">27.4.</w:t>
      </w:r>
      <w:r w:rsidR="00000000" w:rsidRPr="00000000" w:rsidDel="00000000">
        <w:rPr>
          <w:rtl w:val="0"/>
        </w:rPr>
        <w:t xml:space="preserve">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informatīvo un izglītojošo pasākumu īstenošanas izmaksas šo noteikumu </w:t>
      </w:r>
      <w:r w:rsidR="00000000" w:rsidRPr="00000000" w:rsidDel="00000000">
        <w:rPr>
          <w:rtl w:val="0"/>
        </w:rPr>
        <w:t xml:space="preserve">20.4.</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īstenošanas izmaksas, tai skaitā pandusu un indukcijas cilpu noma, zīmju valodas tulka un vieglās valodas tulkošanas pakalpojumu, kā arī subtitrēšanas un reāllaika transkripcijas pakalpojumu izmaksas, ja tas ir nepieciešams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ne agrāk par 2024. gada 1. janvāri.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 un sadarbības partneris (uz sadarbības partneri nav attiecināms šo noteikumu </w:t>
      </w:r>
      <w:r w:rsidR="00000000" w:rsidRPr="00000000" w:rsidDel="00000000">
        <w:rPr>
          <w:rtl w:val="0"/>
        </w:rPr>
        <w:t xml:space="preserve">27.1.</w:t>
      </w:r>
      <w:r w:rsidR="00000000" w:rsidRPr="00000000" w:rsidDel="00000000">
        <w:rPr>
          <w:rtl w:val="0"/>
        </w:rPr>
        <w:t xml:space="preserve"> apakšpunkts):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projekta iesnieguma iesniegšanai izstrādā iekšējās kontroles sistēmu korupcijas un interešu konflikta riska novēršanai publiskas personas institūcijā atbilstoši Ministru kabineta 2017. gada 17. oktobra noteikumiem Nr. 630 "Noteikumi par iekšējās kontroles sistēmas pamatprasībām korupcijas un interešu konflikta riska novēršanai publiskas personas institūcijā", kas ietver arī: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w:t>
      </w:r>
      <w:r w:rsidR="00000000" w:rsidRPr="00000000" w:rsidDel="00000000">
        <w:rPr>
          <w:rtl w:val="0"/>
        </w:rPr>
        <w:t xml:space="preserve">1296/2013</w:t>
      </w:r>
      <w:r w:rsidR="00000000" w:rsidRPr="00000000" w:rsidDel="00000000">
        <w:rPr>
          <w:rtl w:val="0"/>
        </w:rPr>
        <w:t xml:space="preserve">, (ES)  </w:t>
      </w:r>
      <w:r w:rsidR="00000000" w:rsidRPr="00000000" w:rsidDel="00000000">
        <w:rPr>
          <w:rtl w:val="0"/>
        </w:rPr>
        <w:t xml:space="preserve">1301/2013</w:t>
      </w:r>
      <w:r w:rsidR="00000000" w:rsidRPr="00000000" w:rsidDel="00000000">
        <w:rPr>
          <w:rtl w:val="0"/>
        </w:rPr>
        <w:t xml:space="preserve">, (ES)  </w:t>
      </w:r>
      <w:r w:rsidR="00000000" w:rsidRPr="00000000" w:rsidDel="00000000">
        <w:rPr>
          <w:rtl w:val="0"/>
        </w:rPr>
        <w:t xml:space="preserve">1303/2013</w:t>
      </w:r>
      <w:r w:rsidR="00000000" w:rsidRPr="00000000" w:rsidDel="00000000">
        <w:rPr>
          <w:rtl w:val="0"/>
        </w:rPr>
        <w:t xml:space="preserve">, (ES)  </w:t>
      </w:r>
      <w:r w:rsidR="00000000" w:rsidRPr="00000000" w:rsidDel="00000000">
        <w:rPr>
          <w:rtl w:val="0"/>
        </w:rPr>
        <w:t xml:space="preserve">1304/2013</w:t>
      </w:r>
      <w:r w:rsidR="00000000" w:rsidRPr="00000000" w:rsidDel="00000000">
        <w:rPr>
          <w:rtl w:val="0"/>
        </w:rPr>
        <w:t xml:space="preserve">, (ES)  </w:t>
      </w:r>
      <w:r w:rsidR="00000000" w:rsidRPr="00000000" w:rsidDel="00000000">
        <w:rPr>
          <w:rtl w:val="0"/>
        </w:rPr>
        <w:t xml:space="preserve">1309/2013</w:t>
      </w:r>
      <w:r w:rsidR="00000000" w:rsidRPr="00000000" w:rsidDel="00000000">
        <w:rPr>
          <w:rtl w:val="0"/>
        </w:rPr>
        <w:t xml:space="preserve">, (ES)  </w:t>
      </w:r>
      <w:r w:rsidR="00000000" w:rsidRPr="00000000" w:rsidDel="00000000">
        <w:rPr>
          <w:rtl w:val="0"/>
        </w:rPr>
        <w:t xml:space="preserve">1316/2013</w:t>
      </w:r>
      <w:r w:rsidR="00000000" w:rsidRPr="00000000" w:rsidDel="00000000">
        <w:rPr>
          <w:rtl w:val="0"/>
        </w:rPr>
        <w:t xml:space="preserve">, (ES)  </w:t>
      </w:r>
      <w:r w:rsidR="00000000" w:rsidRPr="00000000" w:rsidDel="00000000">
        <w:rPr>
          <w:rtl w:val="0"/>
        </w:rPr>
        <w:t xml:space="preserve">223/2014</w:t>
      </w:r>
      <w:r w:rsidR="00000000" w:rsidRPr="00000000" w:rsidDel="00000000">
        <w:rPr>
          <w:rtl w:val="0"/>
        </w:rPr>
        <w:t xml:space="preserve">, (ES)  </w:t>
      </w:r>
      <w:r w:rsidR="00000000" w:rsidRPr="00000000" w:rsidDel="00000000">
        <w:rPr>
          <w:rtl w:val="0"/>
        </w:rPr>
        <w:t xml:space="preserve">283/2014</w:t>
      </w:r>
      <w:r w:rsidR="00000000" w:rsidRPr="00000000" w:rsidDel="00000000">
        <w:rPr>
          <w:rtl w:val="0"/>
        </w:rPr>
        <w:t xml:space="preserve"> un Lēmumu 541/2014/ES un atceļ Regulu (ES, </w:t>
      </w:r>
      <w:r w:rsidR="00000000" w:rsidRPr="00000000" w:rsidDel="00000000">
        <w:rPr>
          <w:i w:val="1"/>
          <w:rtl w:val="0"/>
        </w:rPr>
        <w:t xml:space="preserve">Euratom</w:t>
      </w:r>
      <w:r w:rsidR="00000000" w:rsidRPr="00000000" w:rsidDel="00000000">
        <w:rPr>
          <w:rtl w:val="0"/>
        </w:rPr>
        <w:t xml:space="preserve">) 966/2012,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jārīkojas darbiniekiem, ja viņi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aizliegtas vienošanās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novēršanas mehānismu, nodrošinot, ka izmaksas nepārklājas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disciplināratbildības piemērošanas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pārkāpumiem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20.</w:t>
      </w:r>
      <w:r w:rsidR="00000000" w:rsidRPr="00000000" w:rsidDel="00000000">
        <w:rPr>
          <w:rtl w:val="0"/>
        </w:rPr>
        <w:t xml:space="preserve"> punktā minēto atbalstāmo darbību īstenošanai, atkarībā no līguma veida un satura var paredzēt avansa maksājumus ne vairāk kā 20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retāk kā reizi trijos mēnešos 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inovatīvais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paraksta apliecinājumu par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w:t>
      </w:r>
      <w:r w:rsidR="00000000" w:rsidRPr="00000000" w:rsidDel="00000000">
        <w:rPr>
          <w:rtl w:val="0"/>
        </w:rPr>
        <w:t xml:space="preserve">1296/2013</w:t>
      </w:r>
      <w:r w:rsidR="00000000" w:rsidRPr="00000000" w:rsidDel="00000000">
        <w:rPr>
          <w:rtl w:val="0"/>
        </w:rPr>
        <w:t xml:space="preserve">, (ES)  </w:t>
      </w:r>
      <w:r w:rsidR="00000000" w:rsidRPr="00000000" w:rsidDel="00000000">
        <w:rPr>
          <w:rtl w:val="0"/>
        </w:rPr>
        <w:t xml:space="preserve">1301/2013</w:t>
      </w:r>
      <w:r w:rsidR="00000000" w:rsidRPr="00000000" w:rsidDel="00000000">
        <w:rPr>
          <w:rtl w:val="0"/>
        </w:rPr>
        <w:t xml:space="preserve">, (ES)  </w:t>
      </w:r>
      <w:r w:rsidR="00000000" w:rsidRPr="00000000" w:rsidDel="00000000">
        <w:rPr>
          <w:rtl w:val="0"/>
        </w:rPr>
        <w:t xml:space="preserve">1303/2013</w:t>
      </w:r>
      <w:r w:rsidR="00000000" w:rsidRPr="00000000" w:rsidDel="00000000">
        <w:rPr>
          <w:rtl w:val="0"/>
        </w:rPr>
        <w:t xml:space="preserve">, (ES)  </w:t>
      </w:r>
      <w:r w:rsidR="00000000" w:rsidRPr="00000000" w:rsidDel="00000000">
        <w:rPr>
          <w:rtl w:val="0"/>
        </w:rPr>
        <w:t xml:space="preserve">1304/2013</w:t>
      </w:r>
      <w:r w:rsidR="00000000" w:rsidRPr="00000000" w:rsidDel="00000000">
        <w:rPr>
          <w:rtl w:val="0"/>
        </w:rPr>
        <w:t xml:space="preserve">, (ES)  </w:t>
      </w:r>
      <w:r w:rsidR="00000000" w:rsidRPr="00000000" w:rsidDel="00000000">
        <w:rPr>
          <w:rtl w:val="0"/>
        </w:rPr>
        <w:t xml:space="preserve">1309/2013</w:t>
      </w:r>
      <w:r w:rsidR="00000000" w:rsidRPr="00000000" w:rsidDel="00000000">
        <w:rPr>
          <w:rtl w:val="0"/>
        </w:rPr>
        <w:t xml:space="preserve">, (ES)  </w:t>
      </w:r>
      <w:r w:rsidR="00000000" w:rsidRPr="00000000" w:rsidDel="00000000">
        <w:rPr>
          <w:rtl w:val="0"/>
        </w:rPr>
        <w:t xml:space="preserve">1316/2013</w:t>
      </w:r>
      <w:r w:rsidR="00000000" w:rsidRPr="00000000" w:rsidDel="00000000">
        <w:rPr>
          <w:rtl w:val="0"/>
        </w:rPr>
        <w:t xml:space="preserve">, (ES)  </w:t>
      </w:r>
      <w:r w:rsidR="00000000" w:rsidRPr="00000000" w:rsidDel="00000000">
        <w:rPr>
          <w:rtl w:val="0"/>
        </w:rPr>
        <w:t xml:space="preserve">223/2014</w:t>
      </w:r>
      <w:r w:rsidR="00000000" w:rsidRPr="00000000" w:rsidDel="00000000">
        <w:rPr>
          <w:rtl w:val="0"/>
        </w:rPr>
        <w:t xml:space="preserve">, (ES)  </w:t>
      </w:r>
      <w:r w:rsidR="00000000" w:rsidRPr="00000000" w:rsidDel="00000000">
        <w:rPr>
          <w:rtl w:val="0"/>
        </w:rPr>
        <w:t xml:space="preserve">283/2014</w:t>
      </w:r>
      <w:r w:rsidR="00000000" w:rsidRPr="00000000" w:rsidDel="00000000">
        <w:rPr>
          <w:rtl w:val="0"/>
        </w:rPr>
        <w:t xml:space="preserve"> un Lēmumu 541/2014/ES un atceļ Regulu (ES, </w:t>
      </w:r>
      <w:r w:rsidR="00000000" w:rsidRPr="00000000" w:rsidDel="00000000">
        <w:rPr>
          <w:i w:val="1"/>
          <w:rtl w:val="0"/>
        </w:rPr>
        <w:t xml:space="preserve">Euratom</w:t>
      </w:r>
      <w:r w:rsidR="00000000" w:rsidRPr="00000000" w:rsidDel="00000000">
        <w:rPr>
          <w:rtl w:val="0"/>
        </w:rPr>
        <w:t xml:space="preserve">) 966/2012, 61. pantu un publiskos iepirkumus regulējošo normatīvo aktu.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piecas vispārīgas un vismaz trīs specifiskas darbības, kā arī uzkrāj datus un ziņo par vismaz diviem rādītājiem,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uzkrāšanu, uzskaiti un iesniegšanu sadarbības iestādē un apkopo datus par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sasniegtajiem rādītājiem atbilstoši Eiropas Parlamenta un Padomes 2021. gada 24. jūnija Regulas (ES) 2021/1057, ar ko izveido Eiropas Sociālo fondu Plus (ESF+) un atceļ Regulu (ES) 1296/2013, 1. un 2. pielikumam un normatīvajiem aktiem, kas nosaka Eiropas Savienības fondu projektu pārbaužu veikšanas kārtību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finansējuma saņēmējs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24-TA-1527</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24-TA-1527</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noteikumu_konsolidētā_versija_24-TA-1527.docx</dc:title>
</cp:coreProperties>
</file>

<file path=docProps/custom.xml><?xml version="1.0" encoding="utf-8"?>
<Properties xmlns="http://schemas.openxmlformats.org/officeDocument/2006/custom-properties" xmlns:vt="http://schemas.openxmlformats.org/officeDocument/2006/docPropsVTypes"/>
</file>