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10. maijā (prot. Nr. 26 24.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28. februāra noteikumos Nr. 108 "Publisko elektronisko iepirkumu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 w:rsidR="00000000" w:rsidRPr="00000000" w:rsidDel="00000000">
        <w:rPr>
          <w:rStyle w:val="paragraph"/>
          <w:i w:val="1"/>
          <w:rtl w:val="0"/>
        </w:rPr>
        <w:t xml:space="preserve"> 9.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divdesmit otrās daļas 1., 2. un 3. punktu, 17. panta divpadsmito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39. panta trešo daļu un 42. panta trīspadsmito daļu, </w:t>
      </w:r>
      <w:r w:rsidR="00000000" w:rsidRPr="00000000" w:rsidDel="00000000">
        <w:rPr>
          <w:rStyle w:val="paragraph"/>
          <w:i w:val="1"/>
          <w:rtl w:val="0"/>
        </w:rPr>
        <w:t xml:space="preserve">Aizsardzības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drošības jomas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 trīspadsmito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Sabiedrisko pakalpojumu sniedzēju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trešo daļu un 48. panta četrpadsmito daļu un </w:t>
      </w:r>
      <w:r w:rsidR="00000000" w:rsidRPr="00000000" w:rsidDel="00000000">
        <w:rPr>
          <w:rStyle w:val="paragraph"/>
          <w:i w:val="1"/>
          <w:rtl w:val="0"/>
        </w:rPr>
        <w:t xml:space="preserve">Publiskās un privātās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partnerības likuma</w:t>
      </w:r>
      <w:r w:rsidR="00000000" w:rsidRPr="00000000" w:rsidDel="00000000">
        <w:rPr>
          <w:rStyle w:val="paragraph"/>
          <w:i w:val="1"/>
          <w:rtl w:val="0"/>
        </w:rPr>
        <w:t xml:space="preserve"> 19. panta trešo daļu un 37. panta trīspadsmito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28. februāra noteikumos Nr. 108 "Publisko elektronisko iepirkumu noteikumi" (Latvijas Vēstnesis, 2017, 45., 100. nr.; 2018, 75., 123., 252. nr.; 2019, 146. nr.; 2020, 126. nr.; 2021, 29., 194.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4.1.5.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"4.1.5. personai, kurai saskaņā ar Publiskās un privātās partnerības likumu ir publiskā partnera vai, ja publiskais partneris e-iepirkumu sistēmā nav reģistrējams, publiskā partnera pārstāvja statuss, lai iegūtu e-izziņas un rīkotu elektroniskas koncesijas procedūras;".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"5. Lai izmantotu e-iepirkumu sistēmas apakšsistēmas, šo noteikumu 4. punktā minētās personas kļūst par e-iepirkumu sistēmas dalībniekiem un uztur aktīvus dalībniekam nepieciešamo apakšsistēmu lietotājus. E-iepirkumu sistēmas dalībniekiem, saņemot piekļuvi atbilstošai e-iepirkumu sistēmas infrastruktūrai, ir tiesības izmantot autonomos robotizētos risinājumus tā apakšsistēmu lietotāju darbību automatizācijai."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Lai saņemtu piekļuvi un uzsāktu autonomo robotizēto risinājumu izmantošanu, e-iepirkumu sistēmas dalībnieks aģentūrā iesniedz e-iepirkumu sistēmas dalībnieka autonomā robotizētā risinājuma piekļuves pieteikumu (4.</w:t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 Aģentūra triju darbdienu laikā pēc šo noteikumu 6. vai 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 minēto dokumentu saņemšanas izskata tos un reģistrē e-iepirkumu sistēmas dalībnieku e-iepirkumu sistēmā, piešķir administratoram tiesības lietot e-iepirkumu sistēmu ar nepieciešamajām apakšsistēmām un izsniedz sākotnējās pieejas rekvizītus, kā arī atver piekļuvi autonomajam robotizētajam risinājumam no konkrēta e-iepirkumu sistēmas dalībnieka norādītā sistēmas lietotāja profila un interneta protokola adreses."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"12.1. atbild par tā administratora, e-iepirkumu sistēmas apakšsistēmu lietotāju, kā arī tā autonomo robotizēto risinājumu darbībām e-iepirkumu sistēmā;".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12.6.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"12.6. uzrauga un kontrolē tā izmantoto autonomo robotizēto risinājumu darbību, lai nepieļautu e-iepirkumu sistēmas darbības ietekmēšanu vai veiktspējas pazemināšanu."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13.3.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"13.3. lietotāja identifikācijas dati kļuvuši zināmi trešajām personām;".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"13.4. lietotāja profila atļautā autonomā robotizētā risinājuma darbība pārslogo e-iepirkumu sistēmu un ietekmē tās darbību un veiktspēju vai lietotājs neievēro šo noteikumu vai piekļuves vietu lietošanas darbībai paredzētos nosacījumus vai ierobežojumus."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18.3.2.1.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"18.3.2.1. fiziskās personas vārds un uzvārds vai paziņojums, ka persona ar šādu personas kodu nav reģistrēta Fizisko personu reģistrā vai ir mirusi;".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19.4.1.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"19.4.1. fiziskās personas vārds un uzvārds vai paziņojums, ka persona ar šādu personas kodu nav reģistrēta Fizisko personu reģistrā vai ir mirusi;".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30.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"30. E-izziņu sagatavošanai nepieciešamās informācijas sniedzēji ir reģistru pārziņi, tai skaitā Pilsonības un migrācijas lietu pārvalde, kas sniedz Fizisko personu reģistra ziņas fizisko personu identificēšanai."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31.2.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"31.2. personas vārdu, uzvārdu un statusu (vai persona ir dzīva vai mirusi) iegūst no Fizisko personu reģistra pēc personas koda, ja pārbaudāmā persona ir fiziskā persona."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33.2.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"33.2. vienlaikus ar reģistros uzkrājamo ziņu izmaiņām – par Iekšlietu ministrijas Informācijas centra Sodu reģistrā, Uzņēmumu reģistrā vai Fizisko personu reģistrā esošajām ziņām, kā arī pašvaldību datubāzēs esošajām ziņām par nekustamā īpašuma nodokļa parādu aprēķinu."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21-TA-1263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21-TA-1263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