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pasākumu "Atbalsts pilsoniskās sabiedrības organizāciju izaugsmei, stiprinot līdzdalību publiskās pārvaldes lēmumu pieņemšanas procesos"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stiprināt pilsoniskās sabiedrības organizāciju kapacitāti, pilnveidojot pilsonisko dialogu visos lēmumu pieņemšanas posmos un tādējādi stiprinot uzticēšanos valstij.</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biedrības un nodibinājumi, kas pārstāv sabiedrības grupu intereses pilsoniskajā dialogā ar publisko pārvaldi nacionālā, reģionālā vai pašvaldību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2028.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biedrības un nodibinājumi, kuri saņēmuši atbalstu, – 250, tai skaitā līdz 2024. gada 31. decembrim – 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nevalstisko organizāciju skaits, kas sniegušas atzinumus par rīcībpolitikas plānošanas dokumentiem un normatīvajiem aktiem (sešu mēnešu laikā pēc iesaistes projekta darbībās), – 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finansējums ir 1 740 000 </w:t>
      </w:r>
      <w:r w:rsidR="00000000" w:rsidRPr="00000000" w:rsidDel="00000000">
        <w:rPr>
          <w:i w:val="1"/>
          <w:rtl w:val="0"/>
        </w:rPr>
        <w:t xml:space="preserve">euro </w:t>
      </w:r>
      <w:r w:rsidR="00000000" w:rsidRPr="00000000" w:rsidDel="00000000">
        <w:rPr>
          <w:rtl w:val="0"/>
        </w:rPr>
        <w:t xml:space="preserve">(no tā elastības finansējums 274 528 </w:t>
      </w:r>
      <w:r w:rsidR="00000000" w:rsidRPr="00000000" w:rsidDel="00000000">
        <w:rPr>
          <w:i w:val="1"/>
          <w:rtl w:val="0"/>
        </w:rPr>
        <w:t xml:space="preserve">euro</w:t>
      </w:r>
      <w:r w:rsidR="00000000" w:rsidRPr="00000000" w:rsidDel="00000000">
        <w:rPr>
          <w:rtl w:val="0"/>
        </w:rPr>
        <w:t xml:space="preserve">), tai skaitā Eiropas Sociālā fonda Plus finansējums 1 479 000 </w:t>
      </w:r>
      <w:r w:rsidR="00000000" w:rsidRPr="00000000" w:rsidDel="00000000">
        <w:rPr>
          <w:i w:val="1"/>
          <w:rtl w:val="0"/>
        </w:rPr>
        <w:t xml:space="preserve">euro </w:t>
      </w:r>
      <w:r w:rsidR="00000000" w:rsidRPr="00000000" w:rsidDel="00000000">
        <w:rPr>
          <w:rtl w:val="0"/>
        </w:rPr>
        <w:t xml:space="preserve">(no tā elastības finansējums 233 349 </w:t>
      </w:r>
      <w:r w:rsidR="00000000" w:rsidRPr="00000000" w:rsidDel="00000000">
        <w:rPr>
          <w:i w:val="1"/>
          <w:rtl w:val="0"/>
        </w:rPr>
        <w:t xml:space="preserve">euro</w:t>
      </w:r>
      <w:r w:rsidR="00000000" w:rsidRPr="00000000" w:rsidDel="00000000">
        <w:rPr>
          <w:rtl w:val="0"/>
        </w:rPr>
        <w:t xml:space="preserve">) un valsts budžeta līdzfinansējums – 261 000 </w:t>
      </w:r>
      <w:r w:rsidR="00000000" w:rsidRPr="00000000" w:rsidDel="00000000">
        <w:rPr>
          <w:i w:val="1"/>
          <w:rtl w:val="0"/>
        </w:rPr>
        <w:t xml:space="preserve">euro </w:t>
      </w:r>
      <w:r w:rsidR="00000000" w:rsidRPr="00000000" w:rsidDel="00000000">
        <w:rPr>
          <w:rtl w:val="0"/>
        </w:rPr>
        <w:t xml:space="preserve">(no tā elastības finansējums 41 179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pasākuma īstenošanai kopējo pasākumam pieejamo finansējumu plāno ne vairāk kā 1 465 472 </w:t>
      </w:r>
      <w:r w:rsidR="00000000" w:rsidRPr="00000000" w:rsidDel="00000000">
        <w:rPr>
          <w:i w:val="1"/>
          <w:rtl w:val="0"/>
        </w:rPr>
        <w:t xml:space="preserve">euro </w:t>
      </w:r>
      <w:r w:rsidR="00000000" w:rsidRPr="00000000" w:rsidDel="00000000">
        <w:rPr>
          <w:rtl w:val="0"/>
        </w:rPr>
        <w:t xml:space="preserve">apmērā, tai skaitā Eiropas Sociālā fonda Plus finansējumu – 1 245 651 </w:t>
      </w:r>
      <w:r w:rsidR="00000000" w:rsidRPr="00000000" w:rsidDel="00000000">
        <w:rPr>
          <w:i w:val="1"/>
          <w:rtl w:val="0"/>
        </w:rPr>
        <w:t xml:space="preserve">euro </w:t>
      </w:r>
      <w:r w:rsidR="00000000" w:rsidRPr="00000000" w:rsidDel="00000000">
        <w:rPr>
          <w:rtl w:val="0"/>
        </w:rPr>
        <w:t xml:space="preserve">apmērā, valsts budžeta līdzfinansējumu – 219 821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Sabiedrības integrācijas fonds.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īstenošanā piesaista sadarbības partneri – biedrību, nodibinājumu vai to apvienību, kuru dalībai projektā deleģējusi Nevalstisko organizāciju un Ministru kabineta sadarbības memoranda īstenošanas padome.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ar sadarbības partneri slēdz sadarbības līgumu atbilstoši normatīvajiem aktiem par kārtību, kādā Eiropas Savienības fondu vadībā iesaistītās institūcijas nodrošina šo fondu ieviešanu 2021.–2027. gada plānošanas periodā. Sadarbības līgums nosaka savstarpējo atbildību, funkcijas, finansēšanas mehānismu, pārskatu sniegšanas kārtību, pienākumus projekta sekmīgai īstenošanai, līguma vienpusējas pārtraukšanas nosacījumus, kā arī ietver sadarbības partnera apliecinājumu, ka pasākuma ietvaros saņemtais finansējums netiks izmantots saimnieciskās darbības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iesniegumam pievieno Nevalstisko organizāciju un Ministru kabineta sadarbības memoranda īstenošanas padomes sēdes protokolu, kas apliecina sadarbības partnera deleģēšanu dalībai projektā. Ja uz projekta iesnieguma iesniegšanas dienu nav noslēgts sadarbības līgums, projekta iesniegumam pievieno projekta iesniedzēja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apņemšanos piešķirt sadarbības partnerim finansējumu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noteiktajā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apstiprinājumu, ka projekta ietvaros saņemtais finansējums netiks izmantots saimnieciskās darbības veikšanai.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finansējuma saņēmējam un sadarbības partnerim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mērķgrupas kapacitātes stiprināšana;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pētījumu, ekspertīžu un analīzes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dažādu sadarbības mehānismu izveide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līdzdalības platformu un to digitālo risinājumu ieviešana un attīstīšana;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izglītojošo pasākumu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finansējuma saņēmēja un sadarbības partnera projekta vadības un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finansējuma saņēmēja un sadarbības partnera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(tai skaitā uzņēmuma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projekta vadītājam un īstenošanas personālam, tostarp biedrību un nodibinājumu pārstāvjiem,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dalības maksa pasākumos (semināros, konferencēs, mācībās u. c.)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komunikācijas un vizuālās identitātes prasību nodrošināšanai šo noteikumu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informatīvo un izglītojošo pasākumu īstenošanas izmaksas šo noteikumu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mācību pasākumu organizēšanas izmaksas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 sk. pandusu nomas, indukcijas cilpu nomas,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 apmērā no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minētajām tiešajām attiecināmajām personāla izmaksām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w:t>
      </w:r>
      <w:r w:rsidR="00000000" w:rsidRPr="00000000" w:rsidDel="00000000">
        <w:rPr>
          <w:rtl w:val="0"/>
        </w:rPr>
        <w:t xml:space="preserve">Nr. 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un sadarbības partneris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saņēmējam projekta izmaksas ir attiecināmas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finansējums nevar tikt izmantots saimnieciskās darbības veikšanai.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(tai skaitā uzņēmuma) līgumos, kurus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 atkarībā no līguma veida un satura var paredzēt avansa maksājumus ne vairāk kā 30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prasību ievērošanu saskaņā ar regulas </w:t>
      </w:r>
      <w:r w:rsidR="00000000" w:rsidRPr="00000000" w:rsidDel="00000000">
        <w:rPr>
          <w:rtl w:val="0"/>
        </w:rPr>
        <w:t xml:space="preserve">Nr. 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trijos mēnešos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iepirkumus veic atklātā, pārredzamā, nediskriminējošā, konkurenci nodrošinošā un, kur attiecināms, arī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w:t>
      </w:r>
      <w:r w:rsidR="00000000" w:rsidRPr="00000000" w:rsidDel="00000000">
        <w:rPr>
          <w:rtl w:val="0"/>
        </w:rPr>
        <w:t xml:space="preserve">Regulas (ES, Euratom) 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tai skaitā paraksta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vismaz trīs vispārīgas un vismaz trīs specifiskas darbības, kā arī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minēto iznākuma rādītāju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sadarbības partneris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uzkrāšanu par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minētā rezultāta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grāmatvedības uzskaitē projekta izmaksu nodalīšanu no saimnieciskās darbības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2028.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23-TA-760</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23-TA-760</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noteikumu_projekts_23-TA-760.docx</dc:title>
</cp:coreProperties>
</file>

<file path=docProps/custom.xml><?xml version="1.0" encoding="utf-8"?>
<Properties xmlns="http://schemas.openxmlformats.org/officeDocument/2006/custom-properties" xmlns:vt="http://schemas.openxmlformats.org/officeDocument/2006/docPropsVTypes"/>
</file>