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25. marta noteikumos Nr. 156 "Būvizstrādājumu tirgus uzraudzības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atbilstības novērtēšanu" 7. panta</w:t>
      </w:r>
      <w:r w:rsidR="00000000" w:rsidRPr="00000000" w:rsidDel="00000000">
        <w:rPr>
          <w:rStyle w:val="paragraph"/>
          <w:i w:val="1"/>
          <w:rtl w:val="0"/>
        </w:rPr>
        <w:t xml:space="preserve"> otro daļu, </w:t>
      </w:r>
      <w:r w:rsidR="00000000" w:rsidRPr="00000000" w:rsidDel="00000000">
        <w:rPr>
          <w:rStyle w:val="paragraph"/>
          <w:i w:val="1"/>
          <w:rtl w:val="0"/>
        </w:rPr>
        <w:t xml:space="preserve">Būvniecības likuma 5. panta</w:t>
      </w:r>
      <w:r w:rsidR="00000000" w:rsidRPr="00000000" w:rsidDel="00000000">
        <w:rPr>
          <w:rStyle w:val="paragraph"/>
          <w:i w:val="1"/>
          <w:rtl w:val="0"/>
        </w:rPr>
        <w:t xml:space="preserve"> </w:t>
      </w:r>
      <w:r>
        <w:br/>
      </w:r>
      <w:r w:rsidR="00000000" w:rsidRPr="00000000" w:rsidDel="00000000">
        <w:rPr>
          <w:rStyle w:val="paragraph"/>
          <w:i w:val="1"/>
          <w:rtl w:val="0"/>
        </w:rPr>
        <w:t xml:space="preserve">pirmās daļas 10. punktu un </w:t>
      </w:r>
      <w:r w:rsidR="00000000" w:rsidRPr="00000000" w:rsidDel="00000000">
        <w:rPr>
          <w:rStyle w:val="paragraph"/>
          <w:i w:val="1"/>
          <w:rtl w:val="0"/>
        </w:rPr>
        <w:t xml:space="preserve">likuma "Par radiācijas drošību un kodoldrošību" 9. panta</w:t>
      </w:r>
      <w:r w:rsidR="00000000" w:rsidRPr="00000000" w:rsidDel="00000000">
        <w:rPr>
          <w:rStyle w:val="paragraph"/>
          <w:i w:val="1"/>
          <w:rtl w:val="0"/>
        </w:rPr>
        <w:t xml:space="preserve"> 2.</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25. marta noteikumos Nr. 156 "Būvizstrādājumu tirgus uzraudzības kārtība" (Latvijas Vēstnesis, 2014, 62., 84. nr.; 2015, 38. nr.; 2017, 232. nr.; 2018, 96., 196. nr.; 2023, 173. nr.; 2025, 53.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institūciju, kura veic būvizstrādājumu tirgus (ražošanas un tirdzniecības vietas, būvlaukumi) uzraudzību, kā arī nosaka uzraudzības kārtību, bet būvizstrādājumiem, uz kuriem nav attiecināma Eiropas Parlamenta un Padomes Regula (ES) Nr. 305/2011, ar ko nosaka saskaņotus būvizstrādājumu tirdzniecības nosacījumus un atceļ Padomes Direktīvu 89/106/EEK (turpmāk – regula (ES) Nr. 305/2011) un Eiropas Parlamenta un Padomes 2024. gada 27. novembra Regula (ES) 2024/3110, kas nosaka saskaņotus būvizstrādājumu tirdzniecības noteikumus un atceļ Regulu (ES) Nr. 305/2011 (turpmāk – regula (ES) 2024/3110), – arī kārtību, kādā izvirza prasības būvizstrādājuma atbilstībai, pieprasa un saņem būvizstrādājumu paraugus, veic laboratoriskās vai cita veida ekspertīzes, un gadījumus, kad izdevumus par attiecīgu ekspertīžu veikšanu sedz būvizstrādājuma ražotājs, importētājs vai izplatītājs;".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būvizstrādājumiem, uz kuriem ir attiecināmas atbilstoši regulas (ES) Nr. 305/2011 kārtībai pieņemtās saskaņotās tehniskās specifikācijas, – saskaņā ar regulu (ES) Nr. 305/2011, Eiropas Parlamenta un Padomes 2008. gada 9. jūlija Regulu (EK) Nr. 765/2008, ar ko nosaka akreditācijas un tirgus uzraudzības prasības attiecībā uz produktu tirdzniecību un atceļ Regulu (EEK) Nr. 339/93 (turpmāk – regula (EK) Nr. 765/2008), un šajos noteikumos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6. būvizstrādājumiem, uz kuriem ir attiecināmas atbilstoši regulas (ES) 2024/3110 kārtībai pieņemtās saskaņotās tehniskās specifikācijas, – saskaņā ar regulu (ES) 2024/3110, regulu (EK) Nr. 765/2008), un šajos noteikumos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sniegt norādījumus attiecīgajam uzņēmējam regulas (ES) Nr. 305/2011 2. panta 18. punkta un regulas (ES) 2024/3110 3. panta 9. punkta izpratnē (turpmāk – uzņēmējs) par nepieciešamajām darbībām neatbilstību novēršanai pēc būvizstrādājumu pārbaužu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pieprasīt un saņemt no atbilstības novērtēšanas institūcijām un paziņotajām institūcijām regulas (ES) Nr. 305/2011 39. panta un regulas (ES) 2024/3110 42. panta 1. punkta izpratnē informāciju un dokumentāciju, kas saistīta ar ekspertējamā būvizstrādājuma atbilstības novērtēšanu vai ekspluatācijas īpašību noturības novērtēšanu un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Regulas (ES) Nr. 305/2011 7. panta 4. punktā, 11. panta 6. punktā, 13. panta 4. punktā un 14. panta 2. punktā, regulas (ES) 2024/3110 16. panta 4. punktā un 22. panta 6. punktā, kā arī šo noteikumu 30.</w:t>
      </w:r>
      <w:r w:rsidR="00000000" w:rsidRPr="00000000" w:rsidDel="00000000">
        <w:rPr>
          <w:vertAlign w:val="superscript"/>
          <w:rtl w:val="0"/>
        </w:rPr>
        <w:t xml:space="preserve">2</w:t>
      </w:r>
      <w:r w:rsidR="00000000" w:rsidRPr="00000000" w:rsidDel="00000000">
        <w:rPr>
          <w:rtl w:val="0"/>
        </w:rPr>
        <w:t xml:space="preserve"> 4., 30.</w:t>
      </w:r>
      <w:r w:rsidR="00000000" w:rsidRPr="00000000" w:rsidDel="00000000">
        <w:rPr>
          <w:vertAlign w:val="superscript"/>
          <w:rtl w:val="0"/>
        </w:rPr>
        <w:t xml:space="preserve">8</w:t>
      </w:r>
      <w:r w:rsidR="00000000" w:rsidRPr="00000000" w:rsidDel="00000000">
        <w:rPr>
          <w:rtl w:val="0"/>
        </w:rPr>
        <w:t xml:space="preserve"> 2. un 30.</w:t>
      </w:r>
      <w:r w:rsidR="00000000" w:rsidRPr="00000000" w:rsidDel="00000000">
        <w:rPr>
          <w:vertAlign w:val="superscript"/>
          <w:rtl w:val="0"/>
        </w:rPr>
        <w:t xml:space="preserve">10</w:t>
      </w:r>
      <w:r w:rsidR="00000000" w:rsidRPr="00000000" w:rsidDel="00000000">
        <w:rPr>
          <w:rtl w:val="0"/>
        </w:rPr>
        <w:t xml:space="preserve"> 4. apakšpunktā minētos dokumentus nodrošina valsts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Centrs regulas (ES) Nr. 305/2011 56. panta 1. punktā, regulas (ES) 2024/3110 65. panta 1. punktā un regulas (EK) Nr. 765/2008 19. panta 1. punktā un 27. panta 1. punktā noteiktajos gadījumos, kā arī ja ir pietiekams iemesls uzskatīt, ka būvizstrādājums, uz kuru attiecas šo noteikumu 1. pielikumā minētie Latvijas valsts standarti, neatbilst normatīvo aktu vai attiecīgā standarta prasībām, veic būvizstrādājuma paraugu ņemšanu un ekspertīzi saskaņā ar kārtību, kas noteikta šo noteikumu IV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centrs, konstatējot būvizstrādājumu neatbilstību normatīvo aktu prasībām būvniecības jomā, veic regulā (ES) Nr. 305/2011, regulā (ES) 2024/3110, regulā (EK) Nr. 765/2008, Preču un pakalpojumu drošuma likumā un Būvniecības likumā noteiktās darbības un par atklātajām neatbilstībām rakstiski informē attiecīgo būvinspektoru un būvdarbu veicēju;".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26-TA-340</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26-TA-340</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noteikumu_(grozījumu)_projekts_26-TA-340.docx</dc:title>
</cp:coreProperties>
</file>

<file path=docProps/custom.xml><?xml version="1.0" encoding="utf-8"?>
<Properties xmlns="http://schemas.openxmlformats.org/officeDocument/2006/custom-properties" xmlns:vt="http://schemas.openxmlformats.org/officeDocument/2006/docPropsVTypes"/>
</file>