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oktobrī (prot. Nr. 45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69. pantu, atbalstīt apropriācijas pārdali 10 949 369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saistītā prioritārā pasākuma "Ārējās robežas tehniskās infrastruktūras izveide" uz Iekšlietu ministrijas budžeta programmu 10.00.00 "Valsts robežsardzes darbība", lai nodrošinātu valsts ārējās sauszemes robežas uzraudzībai nepieciešamās tehnoloģiskās infrastruktūras izbūves turpināšanu uz Latvijas Republikas un Krievijas Federācijas ārējās sauszemes robežas (būvdarbu 6. un 7. kārta, ar kopējo aptuveno garumu 141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25-TA-2324</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25-TA-2324</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rīkojuma_projekts_25-TA-2324.docx</dc:title>
</cp:coreProperties>
</file>

<file path=docProps/custom.xml><?xml version="1.0" encoding="utf-8"?>
<Properties xmlns="http://schemas.openxmlformats.org/officeDocument/2006/custom-properties" xmlns:vt="http://schemas.openxmlformats.org/officeDocument/2006/docPropsVTypes"/>
</file>