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77.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punktu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politikas mērķa "Sociālāka un iekļaujošāka Eiropa, īstenojot Eiropas sociālo tiesību pīlāru" prioritārā virziena "Nodarbinātība un sociālā iekļaušana" 4.3.4. specifiskā atbalsta mērķa "Sekmēt aktīvu iekļaušanu, lai veicinātu vienlīdzīgas iespējas, nediskriminēšanu un aktīvu līdzdalību, kā arī uzlabotu nodarbināmību,  jo īpaši attiecībā uz nelabvēlīgā situācijā esošām grupām" 4.3.4.6. pasākumu "Resocializācijas pakalpojumu probācijas klientiem pilnveidošana un taisnīguma atjaunošanas pieeju attīstība, veicinot probācijas klientu aktīvu līdzdalību sabiedrības procesos un radot priekšnosacījumus viņu veiksmīgai iekļaušanai un nodarbināmībai" (turpmāk – 4.3.4.6.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4.3.4.6. 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4.3.4.6. 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iesniedzējam (turpmāk – projekta iesniedzējs) un finansējuma saņēmējam (turpmāk – finansējuma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4.3.4.6. pasākuma mērķis ir pilnveidot resocializācijas sistēmas efektivitāti, tādējādi attīstot taisnīguma atjaunošanas pieeju, veicināt probācijas klientu aktīvu līdzdalību sabiedrības procesos un radīt sekmīgas probācijas klientu iekļaušanās, vienlīdzīgu iespēju, aktīvas līdzdalības un nodarbināmības priekšnosacījumus.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4.3.4.6. pasākuma mērķa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probācijas klienti;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probācijas klientu ģimenes locekļi un atbalsta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probācijas dienestā nodarbinātie un brīvprātīgie;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valsts un pašvaldības institūciju, biedrību un nodibinājumu pārstāvji, kuru darbības joma ir saistīta ar kriminālsodu izpildi, kriminālsodu izpildes politikas plānošanu, iekļaušanās veicināšanu, palīdzības un atbalsta sniegšanu ieslodzītajiem, bijušajiem ieslodzītajiem un viņu ģimenes locekļiem un atbalsta personām, sociālo uzņēmējdarbību, palīdzību no apreibinošām vielām un procesiem atkarīgām personām, personām, kuras cietušas no noziedzīgiem nodarījumiem, sociāli lietderīgu brīvā laika pavadīšanu sociālās atstumtības riska mērķgrupām un brīvprātīgo darba veicināšanu.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4.3.4.6. 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 reģionāla vai vietēja mēroga valsts administrācijas vai sabiedrisko pakalpojumu iestāžu skaits, kas saņēmušas atbalstu, – 1 (iznākuma rādītājs);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probācijas klientu skaits – 525 (iznākuma rādītājs);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 reģionāla vai vietēja mēroga valsts administrācijas vai sabiedrisko pakalpojumu iestāžu skaits, kas saņēmušas atbalstu, – 1 (iznākuma rādītājs);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probācijas klientu skaits – 2655 (iznākuma rādītājs);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probācijas klienti, kuriem veicināta nodarbināmība, – 2124 (rezultāta rādītājs).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4.3.4.6. 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4.3.4.6. pasākuma ietvaros atbildīgās iestādes funkcijas pilda Tieslietu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4.3.4.6. pasākuma ietvaros plānotais finansējums kopā ar elastības finansējumu ir 3 371 250 </w:t>
      </w:r>
      <w:r w:rsidR="00000000" w:rsidRPr="00000000" w:rsidDel="00000000">
        <w:rPr>
          <w:i w:val="1"/>
          <w:rtl w:val="0"/>
        </w:rPr>
        <w:t xml:space="preserve">euro</w:t>
      </w:r>
      <w:r w:rsidR="00000000" w:rsidRPr="00000000" w:rsidDel="00000000">
        <w:rPr>
          <w:rtl w:val="0"/>
        </w:rPr>
        <w:t xml:space="preserve"> (no tā elastības finansējums – 531 899 </w:t>
      </w:r>
      <w:r w:rsidR="00000000" w:rsidRPr="00000000" w:rsidDel="00000000">
        <w:rPr>
          <w:i w:val="1"/>
          <w:rtl w:val="0"/>
        </w:rPr>
        <w:t xml:space="preserve">euro</w:t>
      </w:r>
      <w:r w:rsidR="00000000" w:rsidRPr="00000000" w:rsidDel="00000000">
        <w:rPr>
          <w:rtl w:val="0"/>
        </w:rPr>
        <w:t xml:space="preserve">), tai skaitā ESF+ finansējums – 2 865 562 </w:t>
      </w:r>
      <w:r w:rsidR="00000000" w:rsidRPr="00000000" w:rsidDel="00000000">
        <w:rPr>
          <w:i w:val="1"/>
          <w:rtl w:val="0"/>
        </w:rPr>
        <w:t xml:space="preserve">euro</w:t>
      </w:r>
      <w:r w:rsidR="00000000" w:rsidRPr="00000000" w:rsidDel="00000000">
        <w:rPr>
          <w:rtl w:val="0"/>
        </w:rPr>
        <w:t xml:space="preserve"> (no tā elastības finansējums – 452 114 </w:t>
      </w:r>
      <w:r w:rsidR="00000000" w:rsidRPr="00000000" w:rsidDel="00000000">
        <w:rPr>
          <w:i w:val="1"/>
          <w:rtl w:val="0"/>
        </w:rPr>
        <w:t xml:space="preserve">euro</w:t>
      </w:r>
      <w:r w:rsidR="00000000" w:rsidRPr="00000000" w:rsidDel="00000000">
        <w:rPr>
          <w:rtl w:val="0"/>
        </w:rPr>
        <w:t xml:space="preserve">) un valsts budžeta finansējums – 505 688 </w:t>
      </w:r>
      <w:r w:rsidR="00000000" w:rsidRPr="00000000" w:rsidDel="00000000">
        <w:rPr>
          <w:i w:val="1"/>
          <w:rtl w:val="0"/>
        </w:rPr>
        <w:t xml:space="preserve">euro</w:t>
      </w:r>
      <w:r w:rsidR="00000000" w:rsidRPr="00000000" w:rsidDel="00000000">
        <w:rPr>
          <w:rtl w:val="0"/>
        </w:rPr>
        <w:t xml:space="preserve"> (no tā elastības finansējums –79 785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iesniegumā kopējo 4.3.4.6. pasākumam pieejamo finansējumu plāno ne vairāk kā 2 839 351 </w:t>
      </w:r>
      <w:r w:rsidR="00000000" w:rsidRPr="00000000" w:rsidDel="00000000">
        <w:rPr>
          <w:i w:val="1"/>
          <w:rtl w:val="0"/>
        </w:rPr>
        <w:t xml:space="preserve">euro</w:t>
      </w:r>
      <w:r w:rsidR="00000000" w:rsidRPr="00000000" w:rsidDel="00000000">
        <w:rPr>
          <w:rtl w:val="0"/>
        </w:rPr>
        <w:t xml:space="preserve"> apmērā, tai skaitā ESF+ finansējumu 2 413 448 </w:t>
      </w:r>
      <w:r w:rsidR="00000000" w:rsidRPr="00000000" w:rsidDel="00000000">
        <w:rPr>
          <w:i w:val="1"/>
          <w:rtl w:val="0"/>
        </w:rPr>
        <w:t xml:space="preserve">euro</w:t>
      </w:r>
      <w:r w:rsidR="00000000" w:rsidRPr="00000000" w:rsidDel="00000000">
        <w:rPr>
          <w:rtl w:val="0"/>
        </w:rPr>
        <w:t xml:space="preserve"> apmērā un valsts budžeta finansējumu 425 903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 iestāde no 2026. gada 1. janvāra pēc Eiropas Komisijas lēmuma par vidusposma ziņojumu var ierosināt palielināt 4.3.4.6. pasākumam pieejamo kopējo finansējumu līdz šo noteikumu 7. punktā minētajam plānotajam kopējam finansējuma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4.3.4.6. pasākuma ietvaros atbalsts tiek sniegts granta veidā.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4.3.4.6. pasākuma ietvaros ir Valsts probācijas dienests – tiešās pārvaldes iestāde, kas īsteno valsts politiku kriminālsoda – sabiedriskais darbs – un audzinoša rakstura piespiedu līdzekļa – sabiedriskais darbs – izpildē, kā arī probācijas klientu uzraudzībā un sociālās uzvedības korekcijā. Projekta iesniedzējs, kura projekta iesniegums ir apstiprināts un ar kuru ir noslēgta vienošanās par projekta īstenošanu,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saskaņā ar projekta iesnieguma atlases nolikumu sagatavo projekta iesniegumu un iesniedz to sadarbības iestādē Kohēzijas politikas fondu vadības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saņēmējs nodrošina, ka vienas un tās pašas vai līdzīgas atbalstāmās darbības nav plānots finansēt no vairākiem finanšu avotiem, novēršot iespējamo investīciju pārklāšanos, un savstarpēji papildinošu investīciju gadījumā novēršot dubultā finansējuma risku.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4.3.4.6. 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probācijas dienestā nodarbināto kapacitātes celšana un profesionālās noturības stiprināšana;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pieredzes pētniecība;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probācijas un resocializācijas darba organizēšanas instrumentu un programmu pilnveidošana un jaunu instrumentu izstrāde, ieguve un ieviešana, ieskaitot instrumentu un programmu aprobēšanu un validizēšanu atbilstoši dažādu probācijas klientu mērķgrupu resocializācijas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probācijas klientu resocializācijas modeļa pilnveidošana, jaunu (interaktīvu) resocializācijas darba metožu attīstība, aprobācija un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sociālās iekļaušanas koeficienta metodikas izstrāde un ieviešana;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dienesta brīvprātīgo darba programmu pilnveidošana un īstenošana pasākumu brīvprātīgo kopienas attīstībai un saliedēšanai;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pasākumi probācijas klientu resocializācijai, viņu ģimenes locekļiem un atbalsta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ikgadējās konferences Valsts probācijas dienestā nodarbinātajiem un sadarbības partneriem, starpinstitūciju sadarbības pilnveidošanas pasākumi un apmācības iesaistīto institūciju un brīvprātīgo pārstāvjiem, tai skaitā nevalstisko organizāciju pārstāvjiem;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visai sabiedrībai un tiesnešiem, prokuroriem, tiesībaizsardzības iestāžu, pašvaldību, citu institūciju un nevalstisko organizāciju darbiniekiem paredzēti informējoši un izglītojoši pasākumi un sociālās kampaņas;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sabiedrības iesaistes un atbalsta pasākumi notiesāto personu sociālās uzņēmējdarbības attīstībai;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informatīvie un publicitātes pasākumi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informācijas tehnoloģiju attīstība, tai skaitā klientu lietu vadības kvalitātes sistēmas pilnveidošana;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vadība un projekta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4.3.4.6. 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13.1.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un vadības personāla atlīdzības izmaksas, kas ir attiecināmas atbilstoši atbildīgās iestādes apstiprinātajai vienkāršoto izmaksu metodikai;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(piemēram, pakalpojuma, uzņēmuma vai autoratlīdzības līgumu) un iepirkumu līgumu izmaksas šo noteikumu 12. punktā minēto atbalstāmo darbību īstenošanai, izņemot šo noteikumu 12.13. apakšpunktā minētās darbības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un ārvalstu komandējumu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mācību, darba braucienu izmaksas projekta vadības un īstenošanas personālam šo noteikumu 12. punktā minēto atbalstāmo darbību īstenošanai atbilstoši spēkā esošajiem normatīvajiem aktiem par kārtību, kādā atlīdzināmi ar komandējumiem saistītie izdevumi.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projekta īstenošanas personālam un projekta vadītājam, tostarp nevalstisko organizāciju pārstāvjiem, brīvprātīgajiem un citām atbalstāmajās darbībās noteiktajām personām šo noteikumu 12.1., 12.2., 12.3., 12.4., 12.5., 12.6., 12.7., 12.8., 12.9. un 12.10. apakšpunktā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(tajā skaitā psihiskās veselības speciālista, narkologa, psihoterapeita vai jurista pakalpojumi), mācību, semināru, konferenču organizēšanas un ar to saistīto materiālu nodrošināšanas izmaksas, tajā skaitā zīmju valodas tulka, reāllaika transkripcijas un subtitrēšanas izmaksas, ja tas nepieciešams  šo noteikumu 12. punktā minēto atbalstāmo darbību īstenošanai, izņemot šo noteikumu 12.11., 12.12. un 12.13. apakšpunktā minēto darbību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iegādes vai nomas izmaksas ir attiecināmas projekta vadības un projekta īstenošanas personālam jaunu darba vietu radīšanai vai esošu darba vietu aprīkojuma atjaunošanai, uzturēšanai un remontam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darba vietas aprīkojuma iegādes izmaksas ir attiecināmas proporcionāli atlīdzības procentuālajam sadalījumam; ja projekta vadības un projekta īstenošanas personāls ir nodarbināts daļlaiku, darba vietas aprīkojuma iegādes izmaksas ir attiecināmas proporcionāli atlīdzības procentuālajam sadalījumam un ņemot vērā darbinieka iesaistes periodu projektā pret projekta kopējo īstenošanas ilgumu šo noteikumu 12.13.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pakalpojumu izmaksas šo noteikumu 12.1., 12.2., 12.3., 12.4, 12.5., 12.6., 12.7., 12.8., 12.9., 12.10., 12.12. un 12.13. apakšpunktā minēto atbalstāmo darbību īstenošanai, piemērojot vadošās iestādes izstrādāto vienas vienības izmaksu metodiku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telpu, materiāltehnisko līdzekļu un aprīkojuma īres vai nomas izmaksas šo noteikumu 12.1., 12.6., 12.7., 12.9. un 12.10.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grāmatu, izglītojošu materiālu, iekārtu un inventāra, tai skaitā palīgmateriālu, izmaksas 50</w:t>
      </w:r>
      <w:r w:rsidR="00000000" w:rsidRPr="00000000" w:rsidDel="00000000">
        <w:rPr>
          <w:i w:val="1"/>
          <w:rtl w:val="0"/>
        </w:rPr>
        <w:t xml:space="preserve">–</w:t>
      </w:r>
      <w:r w:rsidR="00000000" w:rsidRPr="00000000" w:rsidDel="00000000">
        <w:rPr>
          <w:rtl w:val="0"/>
        </w:rPr>
        <w:t xml:space="preserve">500 </w:t>
      </w:r>
      <w:r w:rsidR="00000000" w:rsidRPr="00000000" w:rsidDel="00000000">
        <w:rPr>
          <w:i w:val="1"/>
          <w:rtl w:val="0"/>
        </w:rPr>
        <w:t xml:space="preserve">euro</w:t>
      </w:r>
      <w:r w:rsidR="00000000" w:rsidRPr="00000000" w:rsidDel="00000000">
        <w:rPr>
          <w:rtl w:val="0"/>
        </w:rPr>
        <w:t xml:space="preserve"> par vienību šo noteikumu 12.1., 12.3., 12.4. un 12.6.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informatīvo un publicitātes pasākumu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pantam un kārtībai, kādā Eiropas Savienības fondu vadībā iesaistītās institūcijas nodrošina šo fondu ieviešanu 2021.–2027. gada plānošanas periodā, kā arī Eiropas Savienības fondu 2021.–2027. gada plānošanas perioda un Atveseļošanas fonda komunikācijas un dizaina vadlīnijām šo noteikumu 12.11.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veselības un dzīvības apdrošināšanas izmaksas pret nelaimes gadījumiem brīvprātīgā darba veikšanas laikā un brīvprātīgā darba izdevumu kompensācijas šo noteikumu 12.6. apakšpunktā minēto atbalstāmo darbību īstenošanā iesaistītajiem brīvprātīgā darba veicējiem;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materiāltehniskā nodrošinājuma – pamatlīdzekļu – iegādes izmaksas šo noteikumu 12. punktā minēto atbalstāmo darbību īstenošanai, izņemot šo noteikumu 12.13. apakšpunktā minētās darbības īstenošanu, ja iegāde ir izdevīgāka nekā materiāltehniskā nodrošinājuma īres vai nomas izmaksas projekta īstenošanas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īstenošanas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4.3.4.6. pasākuma atbalstāmo darbību ietvaros ir attiecināms pievienotās vērtības nodoklis attiecināmajām izmaksām atbilstoši regulas Nr. 2021/1060 64. panta 1. punkta "c" apakšpunkta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4.3.4.6. pasākuma īstenošanā tiek piemērota netiešo izmaksu vienotā likme kā viena izmaksu pozīcija 15 procentu apmērā no šo noteikumu 14.1. apakšpunktā minētajām plānotajām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saņēmējam ir īpašumtiesības uz šo noteikumu 12.12. apakšpunktā minēto konkrēto objektu vai īpašumu.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4.3.4.6. pasākuma ietvaros izmaksas ir attiecināmas, ja tās atbilst šajos noteikumos minētajām izmaksu pozīcijām un ir radušās pēc vienošanās noslēgšanas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projekta īstenošanas laikā vadošā iestāde izstrādā horizontālo vienas vienības standarta likmes metodiku vai atbildīgā iestāde izstrādā metodiku kādām šo noteikumu 14.2. apakšpunktā minētajām izmaksām, tām piemēro vadošās vai atbildīgās iestādes izstrādāto metodiku.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Specifiskā atbalsta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divu mēnešu laikā pēc projekta iesnieguma iesniegšanas beigu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iesnieguma vērtēšanā piedalās divi atbildīgās iestādes pārstāvji, viens Labklājības ministrijas pārstāvis, viens Tieslietu ministrijas pārstāvis un sadarbības iestādes pārstāvji, bet vadošās iestādes pārstāvis, ja nepieciešams, var piedalīties novērotāja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Lai nodrošinātu rezultatīvo un iznākuma rādītāju, kopējo tūlītējo rezultātu rādītāju uzskaiti un ziņošanu Eiropas Komisijai, īstenojot projektu, finansējuma saņēmējs uzkrāj, uzskaita un reizi gadā iesniedz sadarbības iestādē apkopotus datus par šo noteikumu 3.1. apakšpunktā minētajām personām atbilstoši Eiropas Parlamenta un Padomes 2021. gada 24. jūnija Regulas (ES) 2021/1057, ar ko izveido Eiropas Sociālo fondu Plus (ESF+) un atceļ Regulu (ES) Nr. 1296/2013, 1. pielikumam un saskaņā ar Ministru kabineta 2023. gada 21. marta noteikumu Nr. 135 "Eiropas Savienības fondu projektu pārbaužu veikšanas kārtība 2021.–2027. gada plānošanas periodā" 1. pielikumu.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4.2.2. apakšpunktā norādītajā iznākuma rādītājā iekļauj šo noteikumu 12.4., 12.6., 12.7. apakšpunktā minētajās projekta darbībās iesaistītos dalībniekus (probācijas klientus). Dati tiek uzglabāti atbilstoši termiņam,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saskaņā ar regulas 2021/1060 47. un 50. pantu un kārtību, kādā Eiropas Savienības fondu vadībā iesaistītās institūcijas nodrošina šo fondu ieviešanu 2021.–2027. gada plānošanas periodā, kā arī saskaņā ar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 ESF+ projekta īstenošanai nepieciešamos finanšu līdzekļus, finansē projekta īstenošanu un veic maksājumus valsts budžeta iestādei saskaņā ar normatīvajiem aktiem par valsts budžeta līdzekļu plānošanas kārtību Eiropas Savienības fondu projektu īstenošanai un maksājumu veikšanai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horizontālā principa "Vienlīdzība, iekļaušana, nediskriminācija un pamattiesību ievērošana" vispārīgās un specifiskās darbības, kas veicina vienlīdzīgu iespēju principu ievērošanu, iekļaušanu, diskriminācijas novēršanu un pamattiesību ievērošanu, īpaši saistībā ar resocializācijas darba un resocializācijas (sociālo) pakalpojumu sniegšanas jomā strādājošo izpratnes un informētības paaugstināšanas pasākumu īstenošanu, lai novērstu diskrimināciju invaliditātes, vecuma, dzimuma, etniskās piederības un citu pazīmju dēļ, tostarp uzkrāj datus par horizontālā principa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izstrādāto vai pilnveidoto izglītības programmu, metodisko līdzekļu, vadlīniju, mācību līdzekļu, tai skaitā digitālo, skaits, kuros integrēti pamattiesību jautājumi par dzimumu līdztiesību, vienlīdzīgu iespēju nodrošināšanu un diskriminācijas novēršanu invaliditātes, vecuma, etniskās piederības un citu pazīmju dēļ, tostarp tiesiskie un praktiskie jautājumi;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skaits, kas piedalījušās apmācību programmās, kurās integrēti pamattiesību jautājumi par dzimumu līdztiesību, vienlīdzīgu iespēju nodrošināšanu un diskriminācijas novēršanu invaliditātes, vecuma, etniskās piederības un citu pazīmju dēļ, tostarp tiesiskie un praktiskie jautājumi;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elektroniski informē atbildīgo iestādi par visām ar projektu saistītajām izmaiņām un aktualitātēm;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ievieto aktuālu informāciju par projekta īstenošanu savā tīmekļvietnē ne retāk kā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projekta īstenošanas beigām nodrošina, ka šo noteikumu 14.2.10. apakšpunktā minētie materiāltehniskie līdzekļi, kas iegādāti projekta ietvaros, ir finansējuma saņēmēja īpašumā, ievērojot pamatlīdzekļu nolietojuma normas un lietošanas nosacījumus atbilstoši normatīvajiem aktiem, kas nosaka kārtību, kādā budžeta iestādes kārto grāmatvedības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nepieciešamos ārpakalpojumus pērk, ievērojot normatīvos aktus publisko iepirkumu jomā, īstenojot atklātu, pārredzamu, nediskriminējošu un konkurenci nodrošinošu procedūru un, kur tas ir attiecināms, īsteno sociāli atbildīgus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projekta īstenošanas laikā tiek ievērots princips "nenodarīt būtisku kaitējumu", paredzot atbilstošas prasības līgumos ar piegādātājiem un pakalpojumu sniedzējiem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lai šo noteikumu 12.8., 12.9., 12.10. un 12.11. apakšpunktā minētā 4.3.4.6. pasākuma atbalstāmās darbības nebūtu kvalificējamas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izstrādā kārtību, kādā tas pārliecinās par interešu konflikta, krāpšanas un korupcijas risku neesību (ievērojot Eiropas Parlamenta un Padomes 2018. gada 18. jūlija Regulas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kā arī ar parakstu apliecina, ka interešu konflikts nepastāv.</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Lai uzraudzītu projekta īstenošanu, finansējuma saņēmējs viena mēneša laikā pēc vienošanās par projekta īstenošanu noslēgšanas izveido projekta uzraudzības komiteju. Projekta uzraudzības komitejā piedalās divi finansējuma saņēmēja pārstāvji, divi atbildīgās iestādes pārstāvji.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 bez balsstiesībām.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izstrādā, saskaņo ar atbildīgo iestādi un apstiprina projekta uzraudzības komitejas nolikumu, kurā detalizēti norāda uzraudzības komitejas personālsastāvu, funkcijas, tiesības un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uzraudzības komitejas sēdes rīko ne retāk kā reizi trīs mēnešos. Atbildīgā iestāde, ja nepieciešams, var pieprasīt finansējuma saņēmējam sasaukt projekta uzraudzības komitejas ārkārtas sēdi, kā arī ierosināt jautājumu izskatīšanu projekta uzraudzības komitejas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4.3.4.6. 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23-TA-214</w:t>
    </w:r>
    <w:r>
      <w:br/>
    </w:r>
    <w:r w:rsidR="00000000" w:rsidRPr="00000000" w:rsidDel="00000000">
      <w:rPr>
        <w:rtl w:val="0"/>
      </w:rPr>
      <w:t xml:space="preserve">Izdrukāts 29.07.2026. 21.41 - 1.0.VK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23-TA-214</w:t>
    </w:r>
    <w:r>
      <w:br/>
    </w:r>
    <w:r w:rsidR="00000000" w:rsidRPr="00000000" w:rsidDel="00000000">
      <w:rPr>
        <w:rtl w:val="0"/>
      </w:rPr>
      <w:t xml:space="preserve">Izdrukāts 29.07.2026. 21.41 - 1.0.VK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noteikumu_projekts_23-TA-214.docx</dc:title>
</cp:coreProperties>
</file>

<file path=docProps/custom.xml><?xml version="1.0" encoding="utf-8"?>
<Properties xmlns="http://schemas.openxmlformats.org/officeDocument/2006/custom-properties" xmlns:vt="http://schemas.openxmlformats.org/officeDocument/2006/docPropsVTypes"/>
</file>