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Eiropas Savienības Atveseļošanas un noturības mehānisma (turpmāk – Atveseļošanas fonds) plāna 1. komponentes "Klimata pārmaiņas un vides ilgtspēja" 1.1. reformu un investīciju virziena "Emisiju samazināšana transporta sektorā" 1.1.1.r. reformas "Rīgas metropoles areāla transporta sistēmas zaļināšana" (turpmāk – reforma) 1.1.1.2.i. investīcijas "Videi draudzīgi uzlabojumi Rīgas pilsētas sabiedriskā transporta sistēmā" 1.1.1.2.i.1. pasākumu (turpmāk – pasākums), tai skaitā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saņēmēju, pasākuma ieviešanā iesaistītās institūcijas,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Atveseļošanas fonda finansējuma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un uzraudzības nosacījumus, tai skaitā ar komercdarbības atbalsta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bezemisiju transportlīdzekļus pilsētas sabiedriskā transporta pārvadājumos – nodrošināt elektroautobusu iegādi un to elektrouzlādes staciju izveidošanu, veicinot emisiju samazināšanu Rīgas valstspilsētas sabiedriskā transporta pakalpojumu sniegšanā.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22.08.2023. noteikumu Nr. 470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īstenošanas vieta ir Rīgas valstspilsēta.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Rīgas valstspilsētas iedzīvotāji un sabiedriskā transporta izmantotāji.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30. jūnijam sasniedzamais mērķis: investīcijas bezemisiju transportā (elektroautobusi un uzlādes stacijas) – 24;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rādītājs saskaņā ar </w:t>
      </w:r>
      <w:r w:rsidR="00000000" w:rsidRPr="00000000" w:rsidDel="00000000">
        <w:rPr>
          <w:rtl w:val="0"/>
        </w:rPr>
        <w:t xml:space="preserve">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w:t>
      </w:r>
      <w:r w:rsidR="00000000" w:rsidRPr="00000000" w:rsidDel="00000000">
        <w:rPr>
          <w:rtl w:val="0"/>
        </w:rPr>
        <w:t xml:space="preserve"> (turpmāk – regula Nr. 2021/241), pielikumā "Kopējo rādītāju saraksts" noteikto kopējo rādītāju Nr. 3.</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22.08.2023. noteikumiem Nr. 470; MK 10.09.2024. noteikumiem Nr. 600)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Kopējais pasākumam pieejamais Atveseļošanas fonda finansējums ir 12 895 573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(tas tiek sniegts granta veidā, sasniedzot pasākuma mērķi 100 %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Attiecināmais Atveseļošanas fonda finansējuma apmērs var būt līdz 100 % no kopējām attiecināmajām izmaksām, ņemot vērā izmaksu un ieguvumu analīzē iegūto rezultātu.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izdevumu attiecināmības termiņš ir 2026. gada 30. jūnijs.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pasākuma īstenošanu ir atbildīga Satiksmes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finansējuma saņēmējs ir Rīgas pašvaldības sabiedrība ar ierobežotu atbildību "Rīgas satiksme" (turpmāk – finansējuma saņēmējs), kas investīcijas ietvaros īsteno projektu (turpmāk – projekts) un sniedz sabiedriskā transporta pakalpojumus, izmantojot autobusus, trolejbusus un sliežu sabiedrisko transportu, un ar kuru ir noslēgts sabiedriskā transporta pakalpojumu sniegšanas līgums, kas atbilst </w:t>
      </w:r>
      <w:r w:rsidR="00000000" w:rsidRPr="00000000" w:rsidDel="00000000">
        <w:rPr>
          <w:rtl w:val="0"/>
        </w:rPr>
        <w:t xml:space="preserve">Eiropas Parlamenta un Padomes 2007. gada 23. oktobra Regulas Nr. 1370/2007 par sabiedriskā pasažieru transporta pakalpojumiem, izmantojot dzelzceļu un autoceļus, un ar ko atceļ Padomes Regulu (EEK) Nr. 1191/69 un Padomes Regulu (EEK) Nr. 1107/70</w:t>
      </w:r>
      <w:r w:rsidR="00000000" w:rsidRPr="00000000" w:rsidDel="00000000">
        <w:rPr>
          <w:rtl w:val="0"/>
        </w:rPr>
        <w:t xml:space="preserve"> (turpmāk – regula Nr. 1370/2007), 4. pantā un 5. panta 2. punktā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Centrālā finanšu un līgumu aģentūra (turpmāk – aģentūra) ar finansējuma saņēmēju slēdz civiltiesisko līgumu par projekta īstenošanu (turpmāk – projekta īstenošanas līgums) un piešķir pasākuma finansējumu saskaņā ar šajos noteikumos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Aģentūra atbilstoši </w:t>
      </w:r>
      <w:r w:rsidR="00000000" w:rsidRPr="00000000" w:rsidDel="00000000">
        <w:rPr>
          <w:rtl w:val="0"/>
        </w:rPr>
        <w:t xml:space="preserve">Ministru kabineta 2021. gada 7. septembra noteikumu Nr. 621 "Eiropas Savienības Atveseļošanas un noturības mehānisma plāna īstenošanas un uzraudzības kārtība"</w:t>
      </w:r>
      <w:r w:rsidR="00000000" w:rsidRPr="00000000" w:rsidDel="00000000">
        <w:rPr>
          <w:rtl w:val="0"/>
        </w:rPr>
        <w:t xml:space="preserve"> (turpmāk – noteikumi Nr. 621) 9. punktam nodrošina projekta īstenošanas pārbaudes.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atbalstāmās darbības ir vērstas uz bezemisiju transportlīdzekļu nodrošināšanu pilsētas sabiedriskā transporta pārvadājumos. Atbalstāmās darbības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elektroautobusu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elektroautobusu uzlādes infrastruktūras iegāde un izbūve;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22.08.2023. noteikumiem Nr. 470)</w:t>
      </w:r>
      <w:r w:rsidR="00000000" w:rsidRPr="00000000" w:rsidDel="00000000">
        <w:rPr>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minētās atbalstāmās darbības ietver šādas attiecināmo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izmaksu un ieguvumu analīzes izstrādes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minētās atbalstāmās darbības ietvaros – jaunu elektroautobusu iegādes izmaksas un izmaksas, kas saistītas ar elektroautobusu pieņemšanu un nodošanu ekspluatācijā un ekspluatācijas nepārtrauktības nodrošināšanu;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minētās atbalstāmās darbības ietvaros – jaunu stacionāru elektrouzlādes staciju (turpmāk – uzlādes punkti) izveidošanas izmaksas,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uzlādes punktu iegādes, piegādes, montāžas un būvdarbu, būvuzraudzības, autoruzraudzības un būvspeciālistu obligātās apdrošināšanas izmaksas atbilstoši normatīvajiem aktiem būvspeciālistu un būvdarbu veicēju civiltiesiskās atbildības obligātās apdrošināšanas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uzlādes punktu būvprojekta un ar to saistīto būvekspertīžu izmaksas, kā arī ar uzlādes punktu izvietojuma noteikšanu saistītās izpētes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elektrotīkla pieslēguma (tai skaitā jaudas palielināšanas) izmaksas, lai nodrošinātu uzlādes punktu darbību;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uzlādes punktiem nepieciešamo stāvvietu un piebrauktuvju izbūves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uzlādes punktu infrastruktūras drošības un monitoringa sistēmu iegādes un uzstādīšanas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22.08.2023. noteikumiem Nr. 470);</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neatkarīga revidenta vai iekšējā auditora (turpmāk – revidents) piesaistes izmaksas, lai apliecinātu izmaksu pamatotību un mērķa sasniegšanu. Minētās izmaksas ietver revidenta atzinumu par projekta darbību, mērķu sasniegšanu, maksājuma pieprasījumu izmaksu pamatotību, interešu konflikta, korupcijas un krāpšanas novēršanas nosacījumu ievērošanu projektā un dubultā finansējuma riska novēršanu (turpmāk – revidenta atzinums).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minēto attiecināmo izmaksu ietvaros finansējuma saņēmējs iegādājas ne mazāk kā 17 elektroautobusus un šo noteikumu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minēto attiecināmo izmaksu ietvaros uzstāda ne mazāk kā septiņus uzlādes punktus.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22.08.2023. noteikumiem Nr. 470)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ietvaros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14.5.</w:t>
      </w:r>
      <w:r w:rsidR="00000000" w:rsidRPr="00000000" w:rsidDel="00000000">
        <w:rPr>
          <w:rtl w:val="0"/>
        </w:rPr>
        <w:t xml:space="preserve"> apakšpunktā</w:t>
      </w:r>
      <w:r w:rsidR="00000000" w:rsidRPr="00000000" w:rsidDel="00000000">
        <w:rPr>
          <w:rtl w:val="0"/>
        </w:rPr>
        <w:t xml:space="preserve"> minētās izmaksas ir attiecināmas, ja tās ir radušās pēc projekta īstenošanas līguma noslēgšanas un atbilst šajos noteikumos minētajām izmaksu pozīcijām.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minētās izmaksas ir attiecināmas no 2020. gada 1. februāra. Ja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minētās darbības uz projekta īstenošanas līguma noslēgšanas brīdi ir pabeigtas, tās nav atbalstāmas un to ietvaros veiktās izmaksas nav attiecināmas.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22.08.2023. noteikumu Nr. 470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Ieviešot projektu, ir atbalstāma: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nosacījumu integrācija preču un pakalpojumu iepirkumos – zaļais publiskais iepirkums;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un informācijas pieejamības nodrošināšana sabiedriskajos transportlīdzekļos.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Atveseļošanas fonda finansējums nesedz pievienotās vērtības nodokļa izmaksas. Pievienotās vērtības nodokļa izmaksu segšanai finansējuma saņēmējs var izmantot savus līdzekļus vai piesaistīt citu finansējumu, kas nav Atveseļošanas fonda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sadārdzinājumu sedz finansējuma saņēmējs no saviem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Projekta īstenošanas un uzraudzības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Īstenotais projekts un tā ietvaros īstenotās atbalstāmās darbības ir sasaistītas un veicina reformas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nodrošina, ka projekts un atbalstāmās darbības tiek īstenotas saskaņā ar </w:t>
      </w:r>
      <w:r w:rsidR="00000000" w:rsidRPr="00000000" w:rsidDel="00000000">
        <w:rPr>
          <w:rtl w:val="0"/>
        </w:rPr>
        <w:t xml:space="preserve">regulas Nr. 2021/241</w:t>
      </w:r>
      <w:r w:rsidR="00000000" w:rsidRPr="00000000" w:rsidDel="00000000">
        <w:rPr>
          <w:rtl w:val="0"/>
        </w:rPr>
        <w:t xml:space="preserve"> 2. panta 6. punktu, ievērojot principa "nenodarīt būtisku kaitējumu"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minētās atbalstāmās darbības ietvaros iepirktie elektroautobusi aizstāj līdz šim izmantotās transporta vienības. Pēc transportlīdzekļa dzīves cikla beigām (attiecībā uz aizstājamām transportlīdzekļu vienībām) tas tiek nodots apstrādes uzņēmumam (utilizēts) saskaņā ar Nolietotu transportlīdzekļu apsaimniekošanas likumu (neattiecas uz Ukrainas civiliedzīvotāju atbalsta likuma 11.</w:t>
      </w:r>
      <w:r w:rsidR="00000000" w:rsidRPr="00000000" w:rsidDel="00000000">
        <w:rPr>
          <w:vertAlign w:val="superscript"/>
          <w:rtl w:val="0"/>
        </w:rPr>
        <w:t xml:space="preserve">2 </w:t>
      </w:r>
      <w:r w:rsidR="00000000" w:rsidRPr="00000000" w:rsidDel="00000000">
        <w:rPr>
          <w:rtl w:val="0"/>
        </w:rPr>
        <w:t xml:space="preserve">panta pirmajā daļā paredzēto gadījumu);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bezemisiju transportlīdzekļu izmantošanu sabiedriskajā transportā saistītās infrastruktūras pielāgošana un izveide neizraisa tūlītēju vai nākotnē iespējamu negatīvu klimata ietekmi uz cilvēkiem, dabu vai aktīviem (tai skaitā infrastruktūru), kā arī nerada negatīvu ietekmi uz pielāgošanos klimata pārmaiņu mērķu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plānošanā un īstenošanā ņem vērā klimata pārmaiņu radītos potenciālos riskus, tai skaitā riskus, kas varētu rasties būvniecības, uzturēšanas un ekspluatācijas laikā, kā arī mazina potenciālo risku iestāšanos.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13.01.2026. noteikumiem Nr. 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Atveseļošanas fonda finansējums netiek piešķirts, ja finansējuma saņēmējs atrodas kādā no </w:t>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r w:rsidR="00000000" w:rsidRPr="00000000" w:rsidDel="00000000">
        <w:rPr>
          <w:rtl w:val="0"/>
        </w:rPr>
        <w:t xml:space="preserve"> (turpmāk – regula 2024/2509), 138. pantā noteiktajām izslēgšanas situācijām.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nodrošina projekta īstenošanai nepieciešamās informācijas iesniegšanu Kohēzijas politikas fondu vadības informācijas sistēmā (turpmāk – Vadības informācijas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Pēc šo noteikumu stāšanās spēkā ministrija nosūta finansējuma saņēmējam uzaicinājumu ne vēlāk kā divu mēnešu laikā pēc uzaicinājuma saņemšanas iesniegt projekta informāciju, pievienojot projekta izmaksu un ieguvumu analīzi (turpmāk – projekta informācija), un norāda Vadības informācijas sistēmā aizpildāmos projekta datu laukus un projekta sadaļas.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22.08.2023. noteikumu Nr. 470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pēc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minētā uzaicinājuma saņemšanas iesniedz projekta informāciju Vadības informācijas sistēmā ministrijas uzaicinājumā noteiktajā termiņā.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Ministrija pārbauda finansējuma saņēmēja iesniegto projekta informāciju atbilstoši šiem noteikumiem, tai skaitā pārbauda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 līguma atbilstību </w:t>
      </w:r>
      <w:r w:rsidR="00000000" w:rsidRPr="00000000" w:rsidDel="00000000">
        <w:rPr>
          <w:rtl w:val="0"/>
        </w:rPr>
        <w:t xml:space="preserve">regulas Nr. 1370/2007</w:t>
      </w:r>
      <w:r w:rsidR="00000000" w:rsidRPr="00000000" w:rsidDel="00000000">
        <w:rPr>
          <w:rtl w:val="0"/>
        </w:rPr>
        <w:t xml:space="preserve"> 4. pantā un 5. panta 2. punktā minētajiem nosacījumiem, un, ja nepieciešams, lūdz finansējuma saņēmēju papildināt un precizēt iesniegto projekta informāciju, nosakot termiņus precizējumu un papildinājumu iesniegšanai. Finansējuma saņēmējs precizējumus var veikt, līdz projekta informācija atbilst visām izvirzītajām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informācijas pārbaudes ietvaros ministrija lūdz aģentūrai sniegt tās rīcībā esošo informāciju par to, vai: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neatrodas </w:t>
      </w:r>
      <w:r w:rsidR="00000000" w:rsidRPr="00000000" w:rsidDel="00000000">
        <w:rPr>
          <w:rtl w:val="0"/>
        </w:rPr>
        <w:t xml:space="preserve">regulas 2024/2509</w:t>
      </w:r>
      <w:r w:rsidR="00000000" w:rsidRPr="00000000" w:rsidDel="00000000">
        <w:rPr>
          <w:rtl w:val="0"/>
        </w:rPr>
        <w:t xml:space="preserve"> 138. pantā noteiktajās izslēgšanas situācijās;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saņēmējam nav Valsts ieņēmumu dienesta administrēto nodokļu (nodevu) parādnieku datubāzēs reģistrētu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Ministrija nodrošina, ka aģentūrai noteiktais termiņš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minētās informācijas sniegšanai nav īsāks par piecām darbdienām pēc ministrijas pieprasījuma saņemšanas. Finansējuma saņēmējs ir tiesīgs īstenot projektu un projekta informāciju uzskata par atbilstošu šiem noteikumiem, tostarp ja finansējuma saņēmējs neatrodas regulas </w:t>
      </w:r>
      <w:r w:rsidR="00000000" w:rsidRPr="00000000" w:rsidDel="00000000">
        <w:rPr>
          <w:rtl w:val="0"/>
        </w:rPr>
        <w:t xml:space="preserve">2024/2509</w:t>
      </w:r>
      <w:r w:rsidR="00000000" w:rsidRPr="00000000" w:rsidDel="00000000">
        <w:rPr>
          <w:rtl w:val="0"/>
        </w:rPr>
        <w:t xml:space="preserve"> 138. pantā noteiktajās izslēgšanas situācijās un finansējuma saņēmējam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Ministrija pārbauda projekta informācijas atbilstību visām izvirzītajām prasībām un informē aģentūru par atļauju slēgt projekta īstenošanas līgumu.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īstenošanas līgumā iekļauj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termiņi, sasniedzamie mērķi un rādītāji;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atbildības sadalījums starp aģentūru un finansējuma saņēmēju, tai skaitā pušu pienākumi un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nepieciešamais finansējums, maksājumu veikšanas kārtība, kā arī korektīvo darbību veikšanas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kārtība, kādā iesniedz plānoto progresa pārskatu iesniegšanas grafiku un plānoto iepirkumu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grozījumu veikšanas kārtība projektā, plānoto progresa pārskatu iesniegšanas grafikā vai plānoto iepirkumu plānā;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uzraudzības un pārbaužu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sagatavota un pilnībā aizpildīta projekta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un dokumentu kopums, kas apliecina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mērķa rādītāja sasniegšanu, un ar projekta īstenošanu saistīto dokumentu uzglabāšanas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saņēmēja apliecinājums, ka projekta atbalstāmās darbības un izmaksas netiek finansētas vai līdzfinansētas, kā arī tās nav plānots finansēt vai līdzfinansēt no citiem valsts un ārvalstu finanšu atbalsta instrumentiem;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Vadības informācijas sistēmā ievadāmās nepieciešamās informācijas apjomu, datu ievades regularitāti, atbildības sadalījumu, kā arī apjomu un regularitāti, kādā augšupielādējami nepieciešamie dokumenti, kas pamato noteikto rādītāju un mērķu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strīdu risināšanas kārtība, grozījumu veikšanas kārtība projekta īstenošanas līgumā, projekta īstenošanas līguma izbeigšanas kārtība, rīcība nepārvaramas varas gadījumā un citi nosacījumi, kas ir būtiski projekta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Pēc projekta īstenošanas līguma noslēgšanas finansējuma saņēmējs Vadības informācijas sistēmā aģentūrai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progresa pārskatu iesniegšanas grafiku, kurā norādīts maksājuma pieprasījumu veids (avansa maksājums, starpposma maksājums, noslēguma maksājums), maksājuma pieprasījuma apmērs un pieprasīšanas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par visiem projekta ieviešanai plānotajiem publiskajiem iepirkumiem, kuru rīkošanai paredzēts piemērot normatīvos aktus publisko iepirkumu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līgumā papildus tiek ietverti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līgumā var paredzēt avansa maksājumus, starpposma maksājumus un noslēguma maksājumu. Avansa maksājumu paredz ne vairāk kā 30 % apmērā no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kopējā finansējuma, un to veic, pamatojoties uz noslēgtajiem iepirkuma līgumiem vai projekta ietvaros veiktajiem izdevumiem, tai skaitā maksājumiem saskaņā ar pakalpojumu, preču piegādes vai būvdarbu līgumiem;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saņēmējam ir piešķirts avansa maksājums projekta īstenošanai, finansējuma saņēmējs iesniedz aģentūrai maksājuma pieprasījumu piešķirtā avansa maksājuma apmērā sešu mēnešu laikā saimnieciskā gada ietvaros pēc avansa maksājuma saņemšanas. Finansējuma saņēmējs var saņemt vairākus avansus, paredzot, ka nākamo avansu var saņemt pēc tam, kad iepriekšējais saņemtais avanss ir apgūts pilnā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piešķirtais avansa maksājumu un starpposma maksājumu apmērs nepārsniedz 90 % no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kopējā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noslēguma maksājumu par atlikušo finansējuma daļu var veikt tikai pēc noslēguma maksājuma pieprasījuma iesniegšanas un pēc tam, kad aģentūra šo noteikumu </w:t>
      </w:r>
      <w:r w:rsidR="00000000" w:rsidRPr="00000000" w:rsidDel="00000000">
        <w:rPr>
          <w:rtl w:val="0"/>
        </w:rPr>
        <w:t xml:space="preserve">48.</w:t>
      </w:r>
      <w:r w:rsidR="00000000" w:rsidRPr="00000000" w:rsidDel="00000000">
        <w:rPr>
          <w:rtl w:val="0"/>
        </w:rPr>
        <w:t xml:space="preserve"> punktā</w:t>
      </w:r>
      <w:r w:rsidR="00000000" w:rsidRPr="00000000" w:rsidDel="00000000">
        <w:rPr>
          <w:rtl w:val="0"/>
        </w:rPr>
        <w:t xml:space="preserve"> minētās pārbaudes ietvaros ir guvusi pārliecību par projekta mērķu un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avansa maksājuma un starpposma maksājumu saņemšanas nosacījumi, tai skaitā avansa maksājuma un starpposma maksājumu apjoms un izmaksāšanas kārtība un termiņi, kādā jāsasniedz projekta mērķis, izmantojot saņemto avansu. Avanss piešķirams, pamatojoties uz finansējuma saņēmēja rakstisku avansa pieprasījumu un izvērtējot plānotā avansa apmēru un tā pamatojumu un finansējuma saņēmēja spēju to apgūt sešu mēnešu laikā saimnieciskā gada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Aģentūra piešķir finansējumu un veic uzraudzību atbilstoši </w:t>
      </w:r>
      <w:r w:rsidR="00000000" w:rsidRPr="00000000" w:rsidDel="00000000">
        <w:rPr>
          <w:rtl w:val="0"/>
        </w:rPr>
        <w:t xml:space="preserve">noteikumiem Nr. 621</w:t>
      </w:r>
      <w:r w:rsidR="00000000" w:rsidRPr="00000000" w:rsidDel="00000000">
        <w:rPr>
          <w:rtl w:val="0"/>
        </w:rPr>
        <w:t xml:space="preserve">, tai skaitā veic maksājumus finansējuma saņēmējam projekta īstenošanas līgumā noteiktajā kārtībā, papildus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maksājumus, kontrolē projektam pieejamo finansējumu un apguves summu, nepieļaujot projekta īstenošanai noteiktās summas pārsniegšanu;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sagatavo valsts budžeta pieprasījumus atbilstoši Likumam par budžetu un finanšu vadību;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pamatojošās dokumentācijas pārbaudes, ja ir aizdomas par negodprātīgu finansējuma saņēmēja rīcību;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izmaksāto līdzekļu atgūšanu 100 % apmērā no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kopējā finansējuma, ja aģentūra projektā konstatējusi pārkāpumus saistībā ar interešu konfliktu, krāpšanu, korupciju vai dubulto finansējumu.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īsteno projektu atbilstoši </w:t>
      </w:r>
      <w:r w:rsidR="00000000" w:rsidRPr="00000000" w:rsidDel="00000000">
        <w:rPr>
          <w:rtl w:val="0"/>
        </w:rPr>
        <w:t xml:space="preserve">noteikumiem Nr. 621</w:t>
      </w:r>
      <w:r w:rsidR="00000000" w:rsidRPr="00000000" w:rsidDel="00000000">
        <w:rPr>
          <w:rtl w:val="0"/>
        </w:rPr>
        <w:t xml:space="preserve">, kā arī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projekta mērķu un rādītāju pilnīgu sasniegšanu noteiktajā laika grafikā;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interešu konflikta, korupcijas un krāpšanas novēršanas nosacījumu ievērošanu projektā un dubultā finansējuma riska izslēgšanu;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veicamās darbības tiek īstenotas, ievērojot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minētos nosacījumus un prasības, tai skaitā kopā ar noslēguma maksājuma pieprasījumu iesniedz aģentūrai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dokumentāciju;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līgumā noteiktajos termiņos un kārtībā Vadības informācijas sistēmā iesniedz aģentūrai maksājuma pieprasījumus, izdevumus un sasniegtos rādītājus pamatojošos dokumentus, kā arī revidenta atzinumu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revidenta atzinumā tiktu ietverta analīze par finansējuma saņēmēja projekta atbilstību labas finanšu pārvaldības principiem, pārbaudīta preču un pakalpojumu sniedzēju atbilstība piegādes līgumiem, kā arī pārbaudīta pakalpojumu un piegādes līgumus un to izdevumus pamatojošā dokumentācija, kas apliecina projekta ieviešanu un rādītāju sasniegšanu, nodrošina revidentam piekļuvi šādiem dokumentiem: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dokumentācija un noslēgtie līgumi, pamatojošie rēķini un citi veiktos maksājumus apliecinoši dokumenti;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pieņemšanas un nodošanas akti;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apliecinājums(-i) par jaunu sabiedriskā transporta vienību ekspluatācijas uzsākšanu;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transportlīdzekļu un to kategoriju (elektroautobusi) saraksts un specifikācijas, sertifikācijas dokumentācija;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bankas garantijas vai apdrošināšanas polises,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citi pamatojošie dokumenti, kas apliecina projekta ieviešanu;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piesaista preču un pakalpojumu sniedzējus saskaņā ar normatīvajiem aktiem publisko iepirkumu jomā, īstenojot atklātas, pārredzamas, nediskriminējošas un konkurenci nodrošinošas iepirkuma procedūras. Finansējuma saņēmējs atbilstoši nepieciešamībai aktualizē Vadības informācijas sistēmā iepirkumu plānu attiecībā uz projekta ieviešanai plānotajiem un faktiski veiktajiem iepirkumiem, kuru rīkošanai paredzēts piemērot publisko iepirkumu regulējumu;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regulas Nr. 2021/241</w:t>
      </w:r>
      <w:r w:rsidR="00000000" w:rsidRPr="00000000" w:rsidDel="00000000">
        <w:rPr>
          <w:rtl w:val="0"/>
        </w:rPr>
        <w:t xml:space="preserve"> 34. pantu un Eiropas Komisijas un Latvijas Republikas Atveseļošanas un noturības mehānisma finansēšanas nolīguma 10. pantu nodrošina informācijas un publicitātes pasākumus par projektu un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ar projekta īstenošanu (tai skaitā ar komercdarbības atbalsta saņemšanu) saistīto dokumentāciju glabā un nodrošina tās pieejamību visā investīcijas un ar to saistītās infrastruktūras uzraudzības amortizācijas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sniedz Vadības informācijas sistēmā visu nepieciešamo informāciju Atveseļošanas fonda plāna uzraudzībā iesaistītajām institūcijām, kā arī Eiropas Komisijas un Latvijas Republikas Atveseļošanas un noturības mehānisma finansēšanas nolīgumā minētajām iestādēm saistībā ar projekta īstenošanu un projekta mērķu sasniegšanu, nodrošina datu un informācijas pieejamību, kā arī nodrošina datu ievadi un uzkrāšanu Vadības informācijas sistēmā par projektu un Eiropas Komisijas noteiktajiem šo noteikumu </w:t>
      </w:r>
      <w:r w:rsidR="00000000" w:rsidRPr="00000000" w:rsidDel="00000000">
        <w:rPr>
          <w:rtl w:val="0"/>
        </w:rPr>
        <w:t xml:space="preserve">5.3.</w:t>
      </w:r>
      <w:r w:rsidR="00000000" w:rsidRPr="00000000" w:rsidDel="00000000">
        <w:rPr>
          <w:rtl w:val="0"/>
        </w:rPr>
        <w:t xml:space="preserve"> apakšpunktā</w:t>
      </w:r>
      <w:r w:rsidR="00000000" w:rsidRPr="00000000" w:rsidDel="00000000">
        <w:rPr>
          <w:rtl w:val="0"/>
        </w:rPr>
        <w:t xml:space="preserve"> minētajiem Atveseļošanas fonda plāna kopējiem rādītājiem, tai skaitā uzstādītajiem uzlādes punktiem.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22.08.2023. noteikumiem Nr. 470)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veicot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minētās atbalstāmās darbības, nodrošina,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iegādātie transportlīdzekļi un izveidotie uzlādes punkti ir finansējuma saņēmēja īpašums;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uzlādes punktu izvietošana un izbūve paredzēta finansējuma saņēmēja īpašumā vai valdījumā, vai turējumā esošajās zemes vienībās. Ja uzlādes punktu izvietošana un izbūve paredzēta Rīgas valstspilsētas pašvaldības īpašumā vai valdījumā, vai turējumā esošajās zemes vienībās, finansējuma saņēmējam ar Rīgas valstspilsētas pašvaldību ir noslēgta atbilstoša vienošanās par īpašuma vai zemes vienību, kurās paredzēta uzlādes punktu izvietošana un izbūve, ilgtermiņa nomas vai lietojuma tiesībām vai apbūves tiesībām, kā arī būvniecības, lietošanas, uzturēšanas un attīstības (tai skaitā modernizēšanas, pārbūves)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iegādātie transportlīdzekļi atbilstoši to specifikācijai ir bezemisiju transportlīdzekļi;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ietvaros iegādātie sabiedriskie transportlīdzekļi, kā arī veiktie ieguldījumi sabiedrisko transportlīdzekļu uzlādei tiek izmantoti tikai sabiedriskā transporta pakalpojumu sniegšanai Rīgas valstspilsētas nozīmes maršrutos visā amortizācijas periodā. Projekta ietvaros iegādāto sabiedrisko transportlīdzekļu amortizācijas periods tiek noteikts atbilstoši normatīvajiem aktiem par kārtību, kādā nosaka un kompensē ar sabiedriskā transporta pakalpojumu sniegšanu saistītos zaudējumus un izdevumus un nosaka sabiedriskā transporta pakalpojuma tarifu. Projekta ietvaros iegādāto un uzstādīto uzlādes punktu amortizācijas periods tiek noteikts atbilstoši ražotāja tehniskajai specifikācijai.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atbilstoši šo noteikumu </w:t>
      </w:r>
      <w:r w:rsidR="00000000" w:rsidRPr="00000000" w:rsidDel="00000000">
        <w:rPr>
          <w:rtl w:val="0"/>
        </w:rPr>
        <w:t xml:space="preserve">13.</w:t>
      </w:r>
      <w:r w:rsidR="00000000" w:rsidRPr="00000000" w:rsidDel="00000000">
        <w:rPr>
          <w:rtl w:val="0"/>
        </w:rPr>
        <w:t xml:space="preserve"> punktam</w:t>
      </w:r>
      <w:r w:rsidR="00000000" w:rsidRPr="00000000" w:rsidDel="00000000">
        <w:rPr>
          <w:rtl w:val="0"/>
        </w:rPr>
        <w:t xml:space="preserve"> iegādātos transportlīdzekļus reģistrē Latvijas Republikā,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transportlīdzekļus drīkst iegādāties no izgatavotāja vai to oficiālā pārstāvja, kas ir komersants, ko izgatavotājs ir oficiāli pilnvarojis pārstāvēt savas intereses;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tiem ir veikta transportlīdzekļa atbilstības novērtēšana saskaņā ar normatīvajiem aktiem par mehānisko transportlīdzekļu un to sastāvdaļu atbilstības novērtēšanu.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ietvaros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rādītāju sasniegšanu pamato: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apliecinājums par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sabiedriskā transporta vienību piegādi un ekspluatācijas uzsākšanu;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uzlādes punktu būvniecības pabeigšanu;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transportlīdzekļu un to kategoriju (elektroautobusi) saraksts un specifikācijas, kas apliecina, ka tie ir bezemisiju transportlīdzekļi;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minētie pamatojošie dokumenti.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22.08.2023. noteikumiem Nr. 470; MK 10.09.2024. noteikumiem Nr. 600)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Aģentūrai ir tiesības vienpusēji atkāpties no noslēgtā projekta īstenošanas līguma jebkurā no šādiem gadījumiem: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projekta īstenošanas līguma nosacījumus, tai skaitā netiek ievēroti projektā noteiktie termiņi vai ir iestājušies citi apstākļi, kas negatīvi ietekmē vai var ietekmēt projekta vai noteikto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gadījumi vai pazīmes, kas saistītas ar interešu konfliktu, korupciju, krāpšanu vai dubultā finansējuma pārkāpumu pieļaušanu;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kas paredzēti projekta īstenošanas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Regulas Nr. 1370/2007</w:t>
      </w:r>
      <w:r w:rsidR="00000000" w:rsidRPr="00000000" w:rsidDel="00000000">
        <w:rPr>
          <w:rtl w:val="0"/>
        </w:rPr>
        <w:t xml:space="preserve"> 4., 5., 6. un 7. pantā un 1. pielikumā noteikto komercdarbības atbalsta nosacījumu un šo noteikumu </w:t>
      </w:r>
      <w:r w:rsidR="00000000" w:rsidRPr="00000000" w:rsidDel="00000000">
        <w:rPr>
          <w:rtl w:val="0"/>
        </w:rPr>
        <w:t xml:space="preserve">36.4. apakšpunktā</w:t>
      </w:r>
      <w:r w:rsidR="00000000" w:rsidRPr="00000000" w:rsidDel="00000000">
        <w:rPr>
          <w:rtl w:val="0"/>
        </w:rPr>
        <w:t xml:space="preserve"> </w:t>
      </w:r>
      <w:r w:rsidR="00000000" w:rsidRPr="00000000" w:rsidDel="00000000">
        <w:rPr>
          <w:rtl w:val="0"/>
        </w:rPr>
        <w:t xml:space="preserve">minēto nosacījumu uzraudzību saskaņā ar Sabiedriskā transporta pakalpojumu likuma 5. panta otrās daļas 4. punktu veic Rīgas valstspilsētas pašvaldība.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Rīgas valstspilsētas pašvaldība nekavējoties informē aģentūru un ministriju par apstākļiem, kuru dēļ varētu rasties pārkāpumi saistībā ar komercdarbības atbalsta piešķiršanas nosacījumu neievērošanu.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Par komercdarbības atbalsta piešķiršanas dienu ir uzskatāma diena, kad ministrija paziņo finansējuma saņēmējam par projekta informācijas atbilstību visām izvirzītajām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tiek pārkāpti </w:t>
      </w:r>
      <w:r w:rsidR="00000000" w:rsidRPr="00000000" w:rsidDel="00000000">
        <w:rPr>
          <w:rtl w:val="0"/>
        </w:rPr>
        <w:t xml:space="preserve">regulas Nr. 1370/2007</w:t>
      </w:r>
      <w:r w:rsidR="00000000" w:rsidRPr="00000000" w:rsidDel="00000000">
        <w:rPr>
          <w:rtl w:val="0"/>
        </w:rPr>
        <w:t xml:space="preserve"> nosacījumi, finansējuma saņēmējam ir pienākums atmaksāt aģentūrai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10.09.2024. noteikumu Nr. 600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iesniedzot Vadības informācijas sistēmā projekta informāciju, projektam pievieno Rīgas valstspilsētas pašvaldības – sabiedriskā pakalpojuma sniegšanas pienākuma uzlicēja – apliecinājumu, ka kompensācija izmaksu segšanai, kas radušās, izpildot sabiedrisko pakalpojumu sniegšanas saistības, tiks aprēķināta tā, lai novērstu pārmērīgu kompensāciju atbilstoši </w:t>
      </w:r>
      <w:r w:rsidR="00000000" w:rsidRPr="00000000" w:rsidDel="00000000">
        <w:rPr>
          <w:rtl w:val="0"/>
        </w:rPr>
        <w:t xml:space="preserve">regulas Nr. 1370/2007</w:t>
      </w:r>
      <w:r w:rsidR="00000000" w:rsidRPr="00000000" w:rsidDel="00000000">
        <w:rPr>
          <w:rtl w:val="0"/>
        </w:rPr>
        <w:t xml:space="preserve"> 3. panta 2. punktam un 4. panta 1. punkta "b" apakšpunktam.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iesniedzot Vadības informācijas sistēmā projekta informāciju, projektam pievieno finansējuma saņēmēja apliecinājumu, ka tas īpašumtiesības uz projekta ietvaros iegādātajiem pamatlīdzekļiem un radīto infrastruktūru, kuru amortizācijas termiņš ir garāks par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 līguma darbības termiņu, nodod Rīgas valstspilsētas pašvaldībai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minētais līgums netiek pagarināts pēc 2033. gada 30. jūnija vai ar finansējuma saņēmēju netiek noslēgts jauns līgums par sabiedriskā transporta pakalpojumu sniegšanu Rīgas valstspilsētas sabiedriskā transporta maršrutu tīklā pēc 2033. gada 30. jūnija;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minētais līgums tiek izbeigts pirms tā darbības termiņa beigām;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iestājas finansējuma saņēmēja maksātnespēja vai likvidācija.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Ja ir sasaiste ar citu atbalsta instrumentu investīcijām, finansējuma saņēmējs nodrošina, ka neiestājas dubultfinansējuma risks.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projektu īsteno saskaņā ar projekta īstenošanas līgumu, bet ne ilgāk kā līdz 2026. gada 30. jūnijam, tai skaitā iesniedz aģentūrai – līgumslēdzējiestādei – projekta noslēguma dokumentāciju un apliecina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rādītāju sasniegšanu, pievienojot to sasniegšanu pamatojošo dokumentāciju.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Aģentūra līdz 2026. gada 31. augustam veic projekta noslēguma dokumentācijas pārbaudi un izmaksā finansējuma saņēmējam noslēguma maksājumu.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26-TA-103</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26-TA-103</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noteikumu_konsolidētā_versija_26-TA-103.docx</dc:title>
</cp:coreProperties>
</file>

<file path=docProps/custom.xml><?xml version="1.0" encoding="utf-8"?>
<Properties xmlns="http://schemas.openxmlformats.org/officeDocument/2006/custom-properties" xmlns:vt="http://schemas.openxmlformats.org/officeDocument/2006/docPropsVTypes"/>
</file>