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2.3.1.specifiskā atbalsta mērķa “Veicināt ilgtspējīgu daudzveidu mobilitāti pilsētās” 2.3.1.3.pasākuma  “Veloinfrastruktūras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19.panta 6. un 13.punktu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mobilitāte” 2.3.1.specifiskā atbalsta mērķa “Veicināt ilgtspējīgu daudzveidu mobilitāti pilsētās” 2.3.1.3.pasākumu “Veloinfrastruktūras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attīstīt nepārtrauktu velosipēdu ceļu, tostarp kopīgu gājēju un velosipēdu ceļu, infrastruktūras izveidi, veicinot nemotorizēto mobilitāti.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Pasākumam plānotais un pieejamais kopējais finansējums ir 26 461 636 euro (tai skaitā elastības finansējums 4 173 671 euro), tai skaitā Eiropas Reģionālās attīstības fonda (turpmāk – ERAF) finansējums 22 492 390 euro (tai skaitā elastības finansējums 3 547 620 euro) un nacionālais finansējums 3 969 246 euro (tai skaitā elastības finansējums 626 051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Pieejamais kopējais attiecināmais finansējums līdz 2025.gada 31.decembrim, lai slēgtu vienošanos par projekta īstenošanu, ir 22 287 965 euro, tai skaitā ERAF finansējums 18 944 770 euro un nacionālais finansējums 3 343 195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attiecināmais ERAF finansējuma apmērs ir 85% no projektam plānotā kopējā attiecināmā finansējuma. Nacionālais līdzfinansējums nav mazāks par 15%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2026.gada 1.janvāra atbildīgā iestāde atbilstoši Eiropas Komisijas lēmumam par vidusposma pārskatu var ierosināt sadarbības iestādei palielināt projektam pieejamo ERAF finansējumu līdz šo noteikumu </w:t>
      </w:r>
      <w:r w:rsidR="00000000" w:rsidRPr="00000000" w:rsidDel="00000000">
        <w:rPr>
          <w:rtl w:val="0"/>
        </w:rPr>
        <w:t xml:space="preserve">4.</w:t>
      </w:r>
      <w:r w:rsidR="00000000" w:rsidRPr="00000000" w:rsidDel="00000000">
        <w:rPr>
          <w:rtl w:val="0"/>
        </w:rPr>
        <w:t xml:space="preserve">punktā</w:t>
      </w:r>
      <w:r w:rsidR="00000000" w:rsidRPr="00000000" w:rsidDel="00000000">
        <w:rPr>
          <w:rtl w:val="0"/>
        </w:rPr>
        <w:t xml:space="preserve"> minētajam apmēram, nepārsniedzot </w:t>
      </w:r>
      <w:r w:rsidR="00000000" w:rsidRPr="00000000" w:rsidDel="00000000">
        <w:rPr>
          <w:rtl w:val="0"/>
        </w:rPr>
        <w:t xml:space="preserve">6.</w:t>
      </w:r>
      <w:r w:rsidR="00000000" w:rsidRPr="00000000" w:rsidDel="00000000">
        <w:rPr>
          <w:rtl w:val="0"/>
        </w:rPr>
        <w:t xml:space="preserve">punktā</w:t>
      </w:r>
      <w:r w:rsidR="00000000" w:rsidRPr="00000000" w:rsidDel="00000000">
        <w:rPr>
          <w:rtl w:val="0"/>
        </w:rPr>
        <w:t xml:space="preserve"> noteikto maksimālo ERAF finansējuma intensitāti.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līdz 2029.gada 31.decembrim,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atdalītas jaunizbūvētas vai būtiski uzlabotas veloceļu infrastruktūras garums ir 60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atdalītas riteņbraukšanas infrastruktūras lietotāju skaits gadā ir 5 820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ERAF finansējumu piešķir granta veidā,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paredzētajā termiņā ir sasniegts projektā paredzētais iznākuma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nedrīkst būt iekļautas darbības, kas ir pabeigtas līdz projekta iesnieguma iesniegšanas dienai.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Iznākuma rādītājs ir sasniegts, kad saistībā ar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normatīvajos aktos noteiktajā kārtībā,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 7.panta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un iesniedz sadarbības iestādē vienu projekta iesniegumu saskaņā ar projekta iesnieguma atlases nolikuma prasībām un ņemot vērā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plānoto kopējo finansējumu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sasniedzamos rādītājus. Projekta iesniegumu iesniedz elektroniski Kohēzijas politikas fondu vadības informācijas sistēmā, pievienojot projektam veikto izmaksu un ieguvumu analīzi.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atbalstāmās darbības ir investīciju veikšana velosipēdu ceļu, tostarp kopīgu gājēju un velosipēdu ceļu, infrastruktūrā gar autoceļiem, izbūvējot, pārbūvējot, atjaunojot, pilnveidojot un pielāgojot velosipēdu ceļu, tostarp kopīgu gājēju un velosipēdu ceļu, infrastruktūru.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tostarp piemaksas un nodokļi,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euro kalendārajā gadā, ja projekta attiecināmās izmaksas ir virs 5 000 000 euro;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 ir ne mazāka kā 30% noslodze, nodrošinot personāla iesaisti projektā saskaņā ar daiļlaika attiecināmības principu (attiecināms,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tajā skaitā izmaksu un ieguvumu analīzes izstrādes izmaksas un tehniski ekonomiskā pamatojuma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(ja tā izstrādāta līdz 2021.gada 10.augustam),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jaunas būves būvniecības, esošas būves pārbūves, atjaunošanas, pilnveidošanas un pielāgošanas izmaksas atbilstoši būvprojektam: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velosipēdu ceļi, tilti, tostarp satiksmes pārvadi;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velosipēdu ielas, attiecinot tikai to izmaksu daļu, kas atbilst atbalstam velosipēdu ceļu infrastruktūrai;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velosipēdu un gājēju ceļu, tai skaitā noejas rampu, velonovietņu, velosipēdu satiksmes intensitātes automātiskās uzskaites sistēmas, video novērošanas sistēmas un pārējās ar velosipēdu ceļu infrastruktūras izbūvi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teritorijas labiekārtošanas izmaksas atbilstoši būvprojekta risinājumam, lai nodrošinātu velosipēdu ceļu, tostarp kopīgu gājēju un velosipēdu ceļu, pilnvērtīgu integrēšanu piegulošajā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ceļu satiksmes organizācijas tehnisko līdzekļu (tai skaitā ceļa zīmes, luksofori, signālstabiņi, aizsargbarjeras, vertikālie un horizontālie ceļa apzīmējumi) uzstādīšanas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transportbūvju un ielu tīklam piegulošo inženiertīklu būvniecības izmaksas.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komunikācijas un vizuālās identitātes pasākumu izmaksas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nekustamā īpašuma iegādes izmaksas ne vairāk kā 10% apmērā no attiecināmo izmaksu kopsummas, ja nekustamā īpašuma iegāde ir nepieciešama un tieši saistīta ar projektā paredzēto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19.10. </w:t>
      </w:r>
      <w:r w:rsidR="00000000" w:rsidRPr="00000000" w:rsidDel="00000000">
        <w:rPr>
          <w:rtl w:val="0"/>
        </w:rPr>
        <w:t xml:space="preserve">apakšpunktā</w:t>
      </w:r>
      <w:r w:rsidR="00000000" w:rsidRPr="00000000" w:rsidDel="00000000">
        <w:rPr>
          <w:rtl w:val="0"/>
        </w:rPr>
        <w:t xml:space="preserve"> minētās izmaksas kopā nepārsniedz 10%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apmērā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ietvaros radušās izmaksas ir attiecināmas finansēšanai,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atbilst šajos noteikumos minētajam mērķim, atbalstāmajām darbībām un īstenošanas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atbilst šajos noteikumos noteiktajām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nepārsniedz šo noteikumu </w:t>
      </w:r>
      <w:r w:rsidR="00000000" w:rsidRPr="00000000" w:rsidDel="00000000">
        <w:rPr>
          <w:rtl w:val="0"/>
        </w:rPr>
        <w:t xml:space="preserve">19.13.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nepārsniedz pasākuma ietvaros plānoto kopējo finansējumu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nav radušās agrāk par 2022.gada 25.novembri, izņemot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minētās izmaksas, kas ir attiecināmas, ja tās radušās pēc 2021.gada 1.janvāra.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nav radušās vēlāk par termiņu, ko nosaka vienošanās par projekta īstenošanu, bet ne vēlāk kā 2029.gada 31.decembrī;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pieejami visi izmaksas pamatojošie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ir sasniegts pasākuma iznākuma rādītājs.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projektu īsteno saskaņā ar noslēgto vienošanos par projekta īstenošanu, bet ne ilgāk kā līdz 2029.gada 31.decembrim.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 vērā, ka atbalstāma ir atdalītas velosipēdu ceļu, tostarp kopīgu gājēju un velosipēdu ceļu, infrastruktūras izveide gar autoceļiem atbilstoši Valsts mikromobilitātes infrastruktūras attīstības stratēģijai;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velosipēdu ceļu, tostarp kopīgu gājēju un velosipēdu ceļu, infrastruktūras maršrutu savienojamību – maršruti pēctecīgi turpinās un nodrošina savienojamību starp apdzīvotām teritorijām, piekļuvi sabiedriskajam transportam un mobilitātes punktiem, papildinot multimodālo savienojumu sniegtās iespējas.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projektā sasniegtajiem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objektu skaitu, kuros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projekta ietekmi uz horizontālo principu rādītājiem (ja attiecināms) un ievēro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 </w:t>
      </w:r>
      <w:r w:rsidR="00000000" w:rsidRPr="00000000" w:rsidDel="00000000">
        <w:rPr>
          <w:rtl w:val="0"/>
        </w:rPr>
        <w:t xml:space="preserve">apakšpunktā</w:t>
      </w:r>
      <w:r w:rsidR="00000000" w:rsidRPr="00000000" w:rsidDel="00000000">
        <w:rPr>
          <w:rtl w:val="0"/>
        </w:rPr>
        <w:t xml:space="preserve"> minētajiem horizontālo principu rādītājiem un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projektā plānotās attiecināmās izmaksas netiek finansētas vai līdzfinansētas, kā arī nav plānots tās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komunikācijas un vizuālās identitātes prasības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47. un 50.pantu, un kārtību, kādā Eiropas Savienības fondu vadībā iesaistītās institūcijas nodrošina šo fondu ieviešanu 2021.–2027.gada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īstenošanai nepieciešamo pakalpojumu iegādi veic saskaņā ar normatīvajiem aktiem publisko iepirkumu jomā, īstenojot atklātu, pārredzamu, nediskriminējošu un konkurenci nodrošinošu konkursa procedūru. Atbalstāms ir zaļais publiskais iepirkums (vides prasību integrācija preču un pakalpojumu iepirkumos) un sociāli atbildīgs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projekta īstenošanā radīto vērtību uzturēšanu, laikus plānojot uzturēšanas un periodiskus nodilušo konstrukciju atjaunošanas darbus un finansējumu šiem darbiem turpmākos 5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sasniegto rezultātu ilgtspēju vismaz 5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glabā projekta dokumentāciju un nodrošina tai pieejamību visā projekta īstenošanas laikā un uzraudzības periodā, kas nepārsniedz 5 (piecus) gadus pēc pēdējā noslēguma maksājuma veikšanas finansējuma saņēmējam;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23-TA-2619</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23-TA-2619</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noteikumu_projekts_23-TA-2619.docx</dc:title>
</cp:coreProperties>
</file>

<file path=docProps/custom.xml><?xml version="1.0" encoding="utf-8"?>
<Properties xmlns="http://schemas.openxmlformats.org/officeDocument/2006/custom-properties" xmlns:vt="http://schemas.openxmlformats.org/officeDocument/2006/docPropsVTypes"/>
</file>