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58</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21. janvārī (prot. Nr. 3 20.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2023. gada 15. augusta noteikumos Nr. 462 "Eiropas Savienības kohēzijas politikas programmas 2021.–2027. gadam 4.1.1. specifiskā atbalsta mērķa "Nodrošināt vienlīdzīgu piekļuvi veselības aprūpei un stiprināt veselības sistēmu, tostarp primārās veselības aprūpes noturību" 4.1.1.1. pasākuma "Ārstniecības iestāžu infrastruktūras attīstība" pirmās un piektās kārtas un 4.1.1.5. pasākuma "Neatliekamās medicīniskās palīdzības dienesta attīstība"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Savienības fondu 2021.–2027. gada plānošanas perioda vadības likuma 19. panta 6. un 13.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2023. gada 15. augusta noteikumos Nr. 462 "Eiropas Savienības kohēzijas politikas programmas 2021.–2027. gadam 4.1.1. specifiskā atbalsta mērķa "Nodrošināt vienlīdzīgu piekļuvi veselības aprūpei un stiprināt veselības sistēmu, tostarp primārās veselības aprūpes noturību" 4.1.1.1. pasākuma "Ārstniecības iestāžu infrastruktūras attīstība" pirmās un piektās kārtas un 4.1.1.5. pasākuma "Neatliekamās medicīniskās palīdzības dienesta attīstība" īstenošanas noteikumi" (Latvijas Vēstnesis, 2023, 163. nr.; 2024, 66.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noteikumu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"Eiropas Savienības kohēzijas politikas programmas 2021.–2027. gadam 4.1.1. specifiskā atbalsta mērķa "Nodrošināt vienlīdzīgu piekļuvi veselības aprūpei un stiprināt veselības sistēmu, tostarp primārās veselības aprūpes noturību" 4.1.1.1. pasākuma "Ārstniecības iestāžu infrastruktūras attīstība" pirmās, piektās un sestās kārtas un 4.1.1.5. pasākuma "Neatliekamās medicīniskās palīdzības dienesta attīstība" īstenošanas noteikumi".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 kārtību, kādā īsteno Eiropas Savienības kohēzijas politikas programmas 2021.–2027. gadam 4.1.1. specifiskā atbalsta mērķa "Nodrošināt vienlīdzīgu piekļuvi veselības aprūpei un stiprināt veselības sistēmu, tostarp primārās veselības aprūpes noturību" (turpmāk – specifiskais atbalsta mērķis) 4.1.1.1. pasākuma "Ārstniecības iestāžu infrastruktūras attīstība" (turpmāk – 4.1.1.1. pasākums) pirmo, piekto un sesto kārtu un 4.1.1.5. pasākumu "Neatliekamās medicīniskās palīdzības dienesta attīstība" (turpmāk – 4.1.1.5. pasākums) (turpmāk visi kopā –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 ar 12.</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 4.1.1.1. pasākuma sestās kārtas ietvaros plānotais un pieejamais kopējais finansējums ir 83 293 509 </w:t>
      </w:r>
      <w:r w:rsidR="00000000" w:rsidRPr="00000000" w:rsidDel="00000000">
        <w:rPr>
          <w:i w:val="1"/>
          <w:rtl w:val="0"/>
        </w:rPr>
        <w:t xml:space="preserve">euro</w:t>
      </w:r>
      <w:r w:rsidR="00000000" w:rsidRPr="00000000" w:rsidDel="00000000">
        <w:rPr>
          <w:rtl w:val="0"/>
        </w:rPr>
        <w:t xml:space="preserve"> (no tā elastības finansējums 46 682 293 </w:t>
      </w:r>
      <w:r w:rsidR="00000000" w:rsidRPr="00000000" w:rsidDel="00000000">
        <w:rPr>
          <w:i w:val="1"/>
          <w:rtl w:val="0"/>
        </w:rPr>
        <w:t xml:space="preserve">euro</w:t>
      </w:r>
      <w:r w:rsidR="00000000" w:rsidRPr="00000000" w:rsidDel="00000000">
        <w:rPr>
          <w:rtl w:val="0"/>
        </w:rPr>
        <w:t xml:space="preserve">), tai skaitā Eiropas Reģionālās attīstības fonda finansējums ir 70 799 482 </w:t>
      </w:r>
      <w:r w:rsidR="00000000" w:rsidRPr="00000000" w:rsidDel="00000000">
        <w:rPr>
          <w:i w:val="1"/>
          <w:rtl w:val="0"/>
        </w:rPr>
        <w:t xml:space="preserve">euro</w:t>
      </w:r>
      <w:r w:rsidR="00000000" w:rsidRPr="00000000" w:rsidDel="00000000">
        <w:rPr>
          <w:rtl w:val="0"/>
        </w:rPr>
        <w:t xml:space="preserve"> (no tā elastības finansējums 39 679 949 </w:t>
      </w:r>
      <w:r w:rsidR="00000000" w:rsidRPr="00000000" w:rsidDel="00000000">
        <w:rPr>
          <w:i w:val="1"/>
          <w:rtl w:val="0"/>
        </w:rPr>
        <w:t xml:space="preserve">euro</w:t>
      </w:r>
      <w:r w:rsidR="00000000" w:rsidRPr="00000000" w:rsidDel="00000000">
        <w:rPr>
          <w:rtl w:val="0"/>
        </w:rPr>
        <w:t xml:space="preserve">) un nacionālais finansējums, kas iekļauj valsts budžeta un privāto finansējumu, ir 12 494 027 </w:t>
      </w:r>
      <w:r w:rsidR="00000000" w:rsidRPr="00000000" w:rsidDel="00000000">
        <w:rPr>
          <w:i w:val="1"/>
          <w:rtl w:val="0"/>
        </w:rPr>
        <w:t xml:space="preserve">euro</w:t>
      </w:r>
      <w:r w:rsidR="00000000" w:rsidRPr="00000000" w:rsidDel="00000000">
        <w:rPr>
          <w:rtl w:val="0"/>
        </w:rPr>
        <w:t xml:space="preserve"> (no tā elastības finansējums 7 002 344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15.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 4.1.1.1. pasākuma pirmās, piektās un sestās kārtas finansējuma saņēmējiem, izņemot šo noteikumu 23. punktā minēto gadījumu, komercdarbības atbalstu piešķir atbilstoši šīs nodaļas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21.1.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"21.1. 4.1.1.1. pasākuma pirmās un sestās kārtas ietvaros – diena, kad sadarbības iestāde sniedz lēmumu par projekta apstiprināšanu vai atzinumu par nosacījumu izpildi;".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26.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 Finansējuma saņēmējs visā projekta dzīves ciklā katru gadu sagatavo pārskatu par papildinošas saimnieciskās darbības apjomu un nodrošina minēto pārskatu un aprēķinus pamatojošo dokumentu pieejamību papildinošas saimnieciskās darbības uzraudzībai."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Papildināt ar 26.</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Ja finansējuma saņēmējs konstatē, ka ir pārsniegts šo noteikumu 23. punktā minētais 20 procentu ierobežojums no infrastruktūras gada jaudas platības, laika vai finanšu izteiksmē vai ka veiktās investīcijas tiek izmantotas citai saimnieciskai darbībai, kas nav uzskatāma par papildinošu saimniecisku darbību, tas saskaņā ar civiltiesisko līgumu vai vienošanos par projekta īstenošanu iesniedz noteiktā termiņā sadarbības iestādē ziņojumu par konstatēto šo noteikumu 23. punktā minēto nosacījumu pārkāpumu."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Papildināt ar 26.</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2</w:t>
      </w:r>
      <w:r w:rsidR="00000000" w:rsidRPr="00000000" w:rsidDel="00000000">
        <w:rPr>
          <w:rtl w:val="0"/>
        </w:rPr>
        <w:t xml:space="preserve"> Sadarbības iestādei ir tiesības projekta dzīves cikla laikā pieprasīt finansējuma saņēmējam papildinošās saimnieciskās darbības pārskatus, tai skaitā gadījumos, kad no finansējuma saņēmēja, kompetentajām iestādēm vai trešajām personām saņemta informācija par papildinošās saimnieciskās darbības nosacījumu pārkāpumu."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27.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 Projekta iesniedzējs tiks vērtēts grupas līmenī, un tas nevar pretendēt uz atbalsta saņemšanu, ja tas atbilst grūtībās nonākuša komersanta statusam saskaņā ar Komisijas 2014. gada 17. jūnija Regulas Nr. 651/2014, ar ko noteiktas atbalsta kategorijas atzīst par saderīgām ar iekšējo tirgu, piemērojot Līguma 107. un 108. pantu, 2. panta 18.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30.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 Projekta iesniedzējs sagatavo projekta iesniegumu atbilstoši projektu iesniegumu atlases nolikumā noteiktajām prasībām un iesniedz to sadarbības iestādē, izmantojot Kohēzijas politikas fondu vadības informācijas sistēmu, tai skaitā ar parakstu apliecina projekta iesniedzēja un sadarbības partnera (ja attiecināms) interešu konflikta neesību atbilstoši Eiropas Parlamenta un Padomes 2024. gada 23. septembra Regulai (ES, </w:t>
      </w:r>
      <w:r w:rsidR="00000000" w:rsidRPr="00000000" w:rsidDel="00000000">
        <w:rPr>
          <w:i w:val="1"/>
          <w:rtl w:val="0"/>
        </w:rPr>
        <w:t xml:space="preserve">Euratom</w:t>
      </w:r>
      <w:r w:rsidR="00000000" w:rsidRPr="00000000" w:rsidDel="00000000">
        <w:rPr>
          <w:rtl w:val="0"/>
        </w:rPr>
        <w:t xml:space="preserve">) 2024/2509 par finanšu noteikumiem, ko piemēro Savienības vispārējam budžetam (pārstrādāta redakcija)."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Papildināt ar 32.</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rtl w:val="0"/>
        </w:rPr>
        <w:t xml:space="preserve"> Sadarbības iestāde pasākuma sestās kārtas projektu iesniegumu atlases ietvaros organizē ierobežotas projektu iesniegumu atlases, uzaicinot tajās piedalīties šo noteikumu pielikumā minētos sestās kārtas projektu iesniedzējus un saskaņojot atlases uzsākšanu ar atbildīgo iestādi."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50.3.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"50.3. ja projekta izmaksas pieaug, projekta sadārdzinājumu sedz no saviem līdzekļiem, nodrošinot piemērojamo komercdarbības atbalsta regulējuma normu ievērošanu;".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Papildināt ar 56.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 Atbildīgā iestāde 4.1.1.1. pasākuma sestās projektu iesniegumu atlases kārtas ietvaros ierobežotas projektu iesniegumu atlases veidā šo noteikumu pielikuma 3.1. un 3.2. apakšpunktā minētos projekta iesniedzējus uzaicinās iesniegt projekta iesniegumu katru atsevišķi."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H. Abu Meri</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24-TA-3293</w:t>
    </w:r>
    <w:r>
      <w:br/>
    </w:r>
    <w:r w:rsidR="00000000" w:rsidRPr="00000000" w:rsidDel="00000000">
      <w:rPr>
        <w:rtl w:val="0"/>
      </w:rPr>
      <w:t xml:space="preserve">Izdrukāts 29.07.2026. 23.01 - 1.0.VK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24-TA-3293</w:t>
    </w:r>
    <w:r>
      <w:br/>
    </w:r>
    <w:r w:rsidR="00000000" w:rsidRPr="00000000" w:rsidDel="00000000">
      <w:rPr>
        <w:rtl w:val="0"/>
      </w:rPr>
      <w:t xml:space="preserve">Izdrukāts 29.07.2026. 23.01 - 1.0.VK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noteikumu_(grozījumu)_projekts_24-TA-3293.docx</dc:title>
</cp:coreProperties>
</file>

<file path=docProps/custom.xml><?xml version="1.0" encoding="utf-8"?>
<Properties xmlns="http://schemas.openxmlformats.org/officeDocument/2006/custom-properties" xmlns:vt="http://schemas.openxmlformats.org/officeDocument/2006/docPropsVTypes"/>
</file>