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aprīlī (prot. Nr. 19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(Pilsonības un migrācijas lietu pārvaldei) finansējumu, kas nepārsniedz 427 653 </w:t>
      </w:r>
      <w:r w:rsidR="00000000" w:rsidRPr="00000000" w:rsidDel="00000000">
        <w:rPr>
          <w:i w:val="1"/>
          <w:rtl w:val="0"/>
        </w:rPr>
        <w:t xml:space="preserve">euro</w:t>
      </w:r>
      <w:r w:rsidR="00000000" w:rsidRPr="00000000" w:rsidDel="00000000">
        <w:rPr>
          <w:rtl w:val="0"/>
        </w:rPr>
        <w:t xml:space="preserve">, lai segtu izdevumus, kas saistīti ar samaksu par virsstundu darbu un piemaksu par personisko darba ieguldījumu un darba kvalitāti (no 2022. gada 1. jūlija – piemaksu par nozīmīgu ieguldījumu attiecīgās institūcijas stratēģisko mērķu sasniegšanā), laikposmā no 2022. gada 1. marta līdz 2022. gada 31. jūlijam nodrošinot personu apliecinošu dokumentu, vīzu un uzturēšanās atļauju izsniegšanu, kā arī migrācijas jautājumu risināšanu, ņemot vērā palielinātu šo pakalpojumu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nepieciešamo izdevumu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22-TA-964</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22-TA-964</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rīkojuma_projekts_22-TA-964.docx</dc:title>
</cp:coreProperties>
</file>

<file path=docProps/custom.xml><?xml version="1.0" encoding="utf-8"?>
<Properties xmlns="http://schemas.openxmlformats.org/officeDocument/2006/custom-properties" xmlns:vt="http://schemas.openxmlformats.org/officeDocument/2006/docPropsVTypes"/>
</file>