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Konkurences padomes 2021.gada 30.jūlija lēmuma Nr. 22 “Par pārkāpuma konstatēšanu un naudas soda uzlikšanu” ietekmi un priekšlikumiem konkurences tiesību pārkāpumu riska mazināšanai”"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21-TA-453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