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605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14. oktobrī (prot. Nr. 43 16.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2021. gada 26. oktobra noteikumos Nr. 720 "Kultūras pieminekļu uzskaites, aizsardzības, izmantošanas un restaurācijas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kultūras pieminekļu aizsardzību</w:t>
      </w:r>
      <w:r w:rsidR="00000000" w:rsidRPr="00000000" w:rsidDel="00000000">
        <w:rPr>
          <w:rStyle w:val="paragraph"/>
          <w:i w:val="1"/>
          <w:rtl w:val="0"/>
        </w:rPr>
        <w:t xml:space="preserve">" </w:t>
      </w:r>
      <w:r>
        <w:br/>
      </w:r>
      <w:r w:rsidR="00000000" w:rsidRPr="00000000" w:rsidDel="00000000">
        <w:rPr>
          <w:rStyle w:val="paragraph"/>
          <w:i w:val="1"/>
          <w:rtl w:val="0"/>
        </w:rPr>
        <w:t xml:space="preserve">5. panta trešo daļu, 12. panta otro daļu, 14. panta pirmo daļu, </w:t>
      </w:r>
      <w:r>
        <w:br/>
      </w:r>
      <w:r w:rsidR="00000000" w:rsidRPr="00000000" w:rsidDel="00000000">
        <w:rPr>
          <w:rStyle w:val="paragraph"/>
          <w:i w:val="1"/>
          <w:rtl w:val="0"/>
        </w:rPr>
        <w:t xml:space="preserve">15. pantu un 23. 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2021. gada 26. oktobra noteikumos Nr. 720 "Kultūras pieminekļu uzskaites, aizsardzības, izmantošanas un restaurācijas noteikumi" (Latvijas Vēstnesis, 2021, 210. nr.; 2023, 19.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36.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 Pārvaldes atļauja nav nepieciešama: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36.1. ja netiek skarts nekustama kultūras pieminekļa aizsardzības zonā esošo kultūrvēsturisko būvju un ainavas elementu ārējais veidols vai reljefs, netiek pasliktināta vai ierobežota kultūras pieminekļa vizuālā uztveramība un nozīmīgas skatu perspektīvas uz kultūras pieminekli;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36.2. ja tiek veikta inženierkomunikāciju tīklu atjaunošana, pārbūve vai ierīkošana,  transporta infrastruktūras objektu atjaunošana vai pārbūve vai ar inženiertīkliem saistīto  elementu  ierīkošana un tiek ievēroti šo noteikumu 36.1. apakšpunkta nosacījumi;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36.3. ja tiek ierīkotas transportlīdzekļu uzlādes stacijas, elektrības sadales skapji, uzstādīti pasta pakalpojumu vai citu veidu pakomāti un citi ar pakalpojumu sniegšanu saistīti pārvietojami automāti un ierīces bez pamatu izveides vai vizuālas reklāmas un stendi un tiek ievēroti šo noteikumu 36.1. apakšpunkta nosacījumi.";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papildināt ar 36.</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vertAlign w:val="superscript"/>
          <w:rtl w:val="0"/>
        </w:rPr>
        <w:t xml:space="preserve">1</w:t>
      </w:r>
      <w:r w:rsidR="00000000" w:rsidRPr="00000000" w:rsidDel="00000000">
        <w:rPr>
          <w:rtl w:val="0"/>
        </w:rPr>
        <w:t xml:space="preserve"> Par citiem šo noteikumu 36. punktā neminētiem gadījumiem, kad nav nepieciešama pārvaldes atļauja, pārvalde pieņem lēmumu un par to informē attiecīgo pašvaldību, kā arī publicē paziņojumu oficiālajā izdevumā "Latvijas Vēstnesis" un pārvaldes tīmekļvietnē."</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2026.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Kultūras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Lāce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25-TA-1636</w:t>
    </w:r>
    <w:r>
      <w:br/>
    </w:r>
    <w:r w:rsidR="00000000" w:rsidRPr="00000000" w:rsidDel="00000000">
      <w:rPr>
        <w:rtl w:val="0"/>
      </w:rPr>
      <w:t xml:space="preserve">Izdrukāts 29.07.2026. 23.32 - 1.0.VK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25-TA-1636</w:t>
    </w:r>
    <w:r>
      <w:br/>
    </w:r>
    <w:r w:rsidR="00000000" w:rsidRPr="00000000" w:rsidDel="00000000">
      <w:rPr>
        <w:rtl w:val="0"/>
      </w:rPr>
      <w:t xml:space="preserve">Izdrukāts 29.07.2026. 23.32 - 1.0.VK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noteikumu_(grozījumu)_projekts_25-TA-1636.docx</dc:title>
</cp:coreProperties>
</file>

<file path=docProps/custom.xml><?xml version="1.0" encoding="utf-8"?>
<Properties xmlns="http://schemas.openxmlformats.org/officeDocument/2006/custom-properties" xmlns:vt="http://schemas.openxmlformats.org/officeDocument/2006/docPropsVTypes"/>
</file>